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52362" w14:textId="77777777" w:rsidR="00CF2BB2" w:rsidRPr="00616464" w:rsidRDefault="00CF2BB2" w:rsidP="00D0103E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355C2C8" w14:textId="3CEABD83" w:rsidR="00D0103E" w:rsidRPr="00616464" w:rsidRDefault="00D0103E" w:rsidP="00D0103E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16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PRAVILA O FINANCIJSKIM KOREKCIJAMA</w:t>
      </w:r>
    </w:p>
    <w:p w14:paraId="5C1E3F4E" w14:textId="77777777" w:rsidR="00D0103E" w:rsidRPr="00616464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6F8C93" w14:textId="77777777" w:rsidR="00D0103E" w:rsidRPr="00616464" w:rsidRDefault="00D0103E" w:rsidP="00D0103E">
      <w:pPr>
        <w:tabs>
          <w:tab w:val="left" w:pos="2665"/>
        </w:tabs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  <w:r w:rsidRPr="0061646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ab/>
      </w:r>
    </w:p>
    <w:p w14:paraId="457092D5" w14:textId="77777777" w:rsidR="00D0103E" w:rsidRPr="00616464" w:rsidRDefault="00D0103E" w:rsidP="00D0103E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  <w:r w:rsidRPr="0061646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Opće odredbe i definicije</w:t>
      </w:r>
    </w:p>
    <w:p w14:paraId="0ABDCE66" w14:textId="77777777" w:rsidR="00D0103E" w:rsidRPr="00616464" w:rsidRDefault="00D0103E" w:rsidP="00D0103E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2EA3CA71" w14:textId="77777777" w:rsidR="00D0103E" w:rsidRPr="00616464" w:rsidRDefault="00D0103E" w:rsidP="00D0103E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646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5C9A0B0B" w14:textId="77777777" w:rsidR="00D0103E" w:rsidRPr="00616464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C0C25C" w14:textId="3026D745" w:rsidR="00D0103E" w:rsidRPr="00E348A5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164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Pravila o financijskim korekcijama (u daljnjem tekstu: Pravila), </w:t>
      </w:r>
      <w:r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sastavni su dio </w:t>
      </w:r>
      <w:r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Ugovora o dodjeli </w:t>
      </w:r>
      <w:r w:rsidR="00616464"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posebnih </w:t>
      </w:r>
      <w:r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sredstava</w:t>
      </w:r>
      <w:r w:rsidR="00616464"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(u daljnjem tekstu: ugovor)</w:t>
      </w:r>
      <w:r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r w:rsidR="00273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projekte</w:t>
      </w:r>
      <w:r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koji se financiraju u okviru</w:t>
      </w:r>
      <w:r w:rsidR="00CF2BB2"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16464"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Javnih natječaja za dodjelu posebnih sredstava za razvoj novih tehnologija i poslovnih procesa u cilju zapošljavanja i održavanja zaposlenosti</w:t>
      </w:r>
      <w:r w:rsidR="003C5926"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osoba s invaliditetom</w:t>
      </w:r>
      <w:r w:rsidR="00616464"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A5760"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kod poslodavaca na</w:t>
      </w:r>
      <w:r w:rsidR="003C5926"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otvorenom tržištu rada, odnosno kod osoba s invaliditetom koje se samozapošljavaju</w:t>
      </w:r>
      <w:r w:rsidR="00616464"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(u daljnjem tekstu: Javni natječaji</w:t>
      </w:r>
      <w:r w:rsidR="003C5926"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; kategorije poslodavaca sukladno članku 35. stavak 2. alineje 1. i 2. Pravilnika o poticajima pri zapošljavanju osoba s invaliditetom (NN 75/18, 120/18)</w:t>
      </w:r>
      <w:r w:rsidR="00616464"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), a koje sufinancira Zavod za vještačenje, profesionalnu rehabilitaciju i zapošljavanje osoba s invaliditetom (u daljnjem tekstu: Zavod).</w:t>
      </w:r>
      <w:r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47FEFBDE" w14:textId="77777777" w:rsidR="00CF2BB2" w:rsidRPr="00E348A5" w:rsidRDefault="00CF2BB2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ED0BE1" w14:textId="45E7BE56" w:rsidR="00D0103E" w:rsidRPr="00E348A5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Ovim se Pravilima utvrđuju uvjeti i način na temelju kojih se korisniku, nakon što je </w:t>
      </w:r>
      <w:r w:rsidR="002F164A"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 tijelo utvrdil</w:t>
      </w:r>
      <w:r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nepravilnost koju je počinio korisnik </w:t>
      </w:r>
      <w:r w:rsidR="00616464"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posebnih</w:t>
      </w:r>
      <w:r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sredstava, određuju financijske korekcije i</w:t>
      </w:r>
      <w:r w:rsidR="00D02BFB"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>/ili</w:t>
      </w:r>
      <w:r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mjera </w:t>
      </w:r>
      <w:r w:rsidR="00616464"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>povrata</w:t>
      </w:r>
      <w:r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dodijeljenih sredstava. </w:t>
      </w:r>
    </w:p>
    <w:p w14:paraId="6EED8303" w14:textId="77777777" w:rsidR="00D0103E" w:rsidRPr="00E348A5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C806D9" w14:textId="03B45728" w:rsidR="00D0103E" w:rsidRPr="00E348A5" w:rsidRDefault="00D0103E" w:rsidP="00D0103E">
      <w:pPr>
        <w:spacing w:before="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(3) U postupku utvrđivanja i određivanja financijskih korekcija, primjenjuje se načelo jednakog postupanja prema svim korisnicima </w:t>
      </w:r>
      <w:r w:rsidR="002F164A"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posebnih</w:t>
      </w:r>
      <w:r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sredstava te </w:t>
      </w:r>
      <w:r w:rsidRPr="00E348A5">
        <w:rPr>
          <w:rFonts w:ascii="Times New Roman" w:eastAsia="Calibri" w:hAnsi="Times New Roman" w:cs="Times New Roman"/>
          <w:sz w:val="24"/>
          <w:szCs w:val="24"/>
        </w:rPr>
        <w:t xml:space="preserve">načelo razmjernosti koje osigurava da svaka mjera koju </w:t>
      </w:r>
      <w:r w:rsidR="002F164A" w:rsidRPr="00E348A5">
        <w:rPr>
          <w:rFonts w:ascii="Times New Roman" w:eastAsia="Calibri" w:hAnsi="Times New Roman" w:cs="Times New Roman"/>
          <w:sz w:val="24"/>
          <w:szCs w:val="24"/>
        </w:rPr>
        <w:t>nadležno tijelo</w:t>
      </w:r>
      <w:r w:rsidRPr="00E348A5">
        <w:rPr>
          <w:rFonts w:ascii="Times New Roman" w:eastAsia="Calibri" w:hAnsi="Times New Roman" w:cs="Times New Roman"/>
          <w:sz w:val="24"/>
          <w:szCs w:val="24"/>
        </w:rPr>
        <w:t xml:space="preserve"> primjenjuje tijekom postupka utvrđivanja i određivanja financijske korekcije ili mjere </w:t>
      </w:r>
      <w:r w:rsidR="002F164A" w:rsidRPr="00E348A5">
        <w:rPr>
          <w:rFonts w:ascii="Times New Roman" w:eastAsia="Calibri" w:hAnsi="Times New Roman" w:cs="Times New Roman"/>
          <w:sz w:val="24"/>
          <w:szCs w:val="24"/>
        </w:rPr>
        <w:t xml:space="preserve">povrata </w:t>
      </w:r>
      <w:r w:rsidRPr="00E348A5">
        <w:rPr>
          <w:rFonts w:ascii="Times New Roman" w:eastAsia="Calibri" w:hAnsi="Times New Roman" w:cs="Times New Roman"/>
          <w:sz w:val="24"/>
          <w:szCs w:val="24"/>
        </w:rPr>
        <w:t xml:space="preserve">bude nužna i prikladna. </w:t>
      </w:r>
    </w:p>
    <w:p w14:paraId="1CBB76F2" w14:textId="77777777" w:rsidR="00D0103E" w:rsidRPr="00E348A5" w:rsidRDefault="00D0103E" w:rsidP="00D0103E">
      <w:pPr>
        <w:spacing w:before="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CED9A9" w14:textId="2BB5874F" w:rsidR="00D0103E" w:rsidRPr="00E348A5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348A5">
        <w:rPr>
          <w:rFonts w:ascii="Times New Roman" w:eastAsia="Calibri" w:hAnsi="Times New Roman" w:cs="Times New Roman"/>
          <w:sz w:val="24"/>
          <w:szCs w:val="24"/>
        </w:rPr>
        <w:t xml:space="preserve">(4) </w:t>
      </w:r>
      <w:r w:rsidR="008017B6" w:rsidRPr="00E348A5">
        <w:rPr>
          <w:rFonts w:ascii="Times New Roman" w:eastAsia="Calibri" w:hAnsi="Times New Roman" w:cs="Times New Roman"/>
          <w:sz w:val="24"/>
          <w:szCs w:val="24"/>
        </w:rPr>
        <w:t>Prijavitelj</w:t>
      </w:r>
      <w:r w:rsidR="00DB6235" w:rsidRPr="00E348A5">
        <w:rPr>
          <w:rFonts w:ascii="Times New Roman" w:eastAsia="Calibri" w:hAnsi="Times New Roman" w:cs="Times New Roman"/>
          <w:sz w:val="24"/>
          <w:szCs w:val="24"/>
        </w:rPr>
        <w:t xml:space="preserve">i, </w:t>
      </w:r>
      <w:r w:rsidR="008017B6" w:rsidRPr="00E348A5">
        <w:rPr>
          <w:rFonts w:ascii="Times New Roman" w:eastAsia="Calibri" w:hAnsi="Times New Roman" w:cs="Times New Roman"/>
          <w:sz w:val="24"/>
          <w:szCs w:val="24"/>
        </w:rPr>
        <w:t>odnosno k</w:t>
      </w:r>
      <w:r w:rsidRPr="00E348A5">
        <w:rPr>
          <w:rFonts w:ascii="Times New Roman" w:eastAsia="Calibri" w:hAnsi="Times New Roman" w:cs="Times New Roman"/>
          <w:sz w:val="24"/>
          <w:szCs w:val="24"/>
        </w:rPr>
        <w:t>orisnici</w:t>
      </w:r>
      <w:r w:rsidR="00DB6235" w:rsidRPr="00E348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348A5">
        <w:rPr>
          <w:rFonts w:ascii="Times New Roman" w:eastAsia="Calibri" w:hAnsi="Times New Roman" w:cs="Times New Roman"/>
          <w:sz w:val="24"/>
          <w:szCs w:val="24"/>
        </w:rPr>
        <w:t xml:space="preserve">te </w:t>
      </w:r>
      <w:r w:rsidR="002F164A" w:rsidRPr="00E348A5">
        <w:rPr>
          <w:rFonts w:ascii="Times New Roman" w:eastAsia="Calibri" w:hAnsi="Times New Roman" w:cs="Times New Roman"/>
          <w:sz w:val="24"/>
          <w:szCs w:val="24"/>
        </w:rPr>
        <w:t>nadležno tijelo</w:t>
      </w:r>
      <w:r w:rsidRPr="00E348A5">
        <w:rPr>
          <w:rFonts w:ascii="Times New Roman" w:eastAsia="Calibri" w:hAnsi="Times New Roman" w:cs="Times New Roman"/>
          <w:sz w:val="24"/>
          <w:szCs w:val="24"/>
        </w:rPr>
        <w:t xml:space="preserve"> postupaju </w:t>
      </w:r>
      <w:r w:rsidR="002D3824" w:rsidRPr="00E348A5">
        <w:rPr>
          <w:rFonts w:ascii="Times New Roman" w:eastAsia="Calibri" w:hAnsi="Times New Roman" w:cs="Times New Roman"/>
          <w:sz w:val="24"/>
          <w:szCs w:val="24"/>
        </w:rPr>
        <w:t xml:space="preserve">u skladu s pravilima i načelima javne nabave, odnosno nabave koju provode </w:t>
      </w:r>
      <w:proofErr w:type="spellStart"/>
      <w:r w:rsidR="0047353E" w:rsidRPr="00E348A5">
        <w:rPr>
          <w:rFonts w:ascii="Times New Roman" w:eastAsia="Calibri" w:hAnsi="Times New Roman" w:cs="Times New Roman"/>
          <w:sz w:val="24"/>
          <w:szCs w:val="24"/>
        </w:rPr>
        <w:t>neobveznici</w:t>
      </w:r>
      <w:proofErr w:type="spellEnd"/>
      <w:r w:rsidR="008905B5" w:rsidRPr="00E348A5">
        <w:rPr>
          <w:rFonts w:ascii="Times New Roman" w:eastAsia="Calibri" w:hAnsi="Times New Roman" w:cs="Times New Roman"/>
          <w:sz w:val="24"/>
          <w:szCs w:val="24"/>
        </w:rPr>
        <w:t xml:space="preserve"> Zakona o </w:t>
      </w:r>
      <w:r w:rsidR="002D3824" w:rsidRPr="00E348A5">
        <w:rPr>
          <w:rFonts w:ascii="Times New Roman" w:eastAsia="Calibri" w:hAnsi="Times New Roman" w:cs="Times New Roman"/>
          <w:sz w:val="24"/>
          <w:szCs w:val="24"/>
        </w:rPr>
        <w:t>javnoj nabavi, kao i pravilima i načelima Ugovora o funkcioniranju Europske unije</w:t>
      </w:r>
      <w:r w:rsidR="00222FE2" w:rsidRPr="00E348A5">
        <w:rPr>
          <w:rFonts w:ascii="Times New Roman" w:eastAsia="Calibri" w:hAnsi="Times New Roman" w:cs="Times New Roman"/>
          <w:sz w:val="24"/>
          <w:szCs w:val="24"/>
        </w:rPr>
        <w:t xml:space="preserve"> (pročišćen</w:t>
      </w:r>
      <w:r w:rsidR="007B6134" w:rsidRPr="00E348A5">
        <w:rPr>
          <w:rFonts w:ascii="Times New Roman" w:eastAsia="Calibri" w:hAnsi="Times New Roman" w:cs="Times New Roman"/>
          <w:sz w:val="24"/>
          <w:szCs w:val="24"/>
        </w:rPr>
        <w:t>e</w:t>
      </w:r>
      <w:r w:rsidR="00222FE2" w:rsidRPr="00E348A5">
        <w:rPr>
          <w:rFonts w:ascii="Times New Roman" w:eastAsia="Calibri" w:hAnsi="Times New Roman" w:cs="Times New Roman"/>
          <w:sz w:val="24"/>
          <w:szCs w:val="24"/>
        </w:rPr>
        <w:t xml:space="preserve"> verzije Ugovora o Europskoj uniji i Ugovora o funkcioniranju Europske unije, SL C 202, 7.6.2016.)</w:t>
      </w:r>
      <w:r w:rsidR="008017B6" w:rsidRPr="00E348A5">
        <w:rPr>
          <w:rFonts w:ascii="Times New Roman" w:eastAsia="Calibri" w:hAnsi="Times New Roman" w:cs="Times New Roman"/>
          <w:sz w:val="24"/>
          <w:szCs w:val="24"/>
        </w:rPr>
        <w:t xml:space="preserve"> koja uključuju slobodu kretanja roba, pravo poslovnog </w:t>
      </w:r>
      <w:proofErr w:type="spellStart"/>
      <w:r w:rsidR="008017B6" w:rsidRPr="00E348A5">
        <w:rPr>
          <w:rFonts w:ascii="Times New Roman" w:eastAsia="Calibri" w:hAnsi="Times New Roman" w:cs="Times New Roman"/>
          <w:sz w:val="24"/>
          <w:szCs w:val="24"/>
        </w:rPr>
        <w:t>nastana</w:t>
      </w:r>
      <w:proofErr w:type="spellEnd"/>
      <w:r w:rsidR="008017B6" w:rsidRPr="00E348A5">
        <w:rPr>
          <w:rFonts w:ascii="Times New Roman" w:eastAsia="Calibri" w:hAnsi="Times New Roman" w:cs="Times New Roman"/>
          <w:sz w:val="24"/>
          <w:szCs w:val="24"/>
        </w:rPr>
        <w:t>, slobodu pružanja usluga, nediskriminaciju i jednako postupanje, transparentnost, proporcionalnost i uzajamno priznavanje.</w:t>
      </w:r>
    </w:p>
    <w:p w14:paraId="408107A1" w14:textId="77777777" w:rsidR="00D0103E" w:rsidRPr="00E348A5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10E8029" w14:textId="02078106" w:rsidR="00D0103E" w:rsidRPr="00E348A5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(5) Prihvaćanjem ovih Pravila korisnik pristaje da mu </w:t>
      </w:r>
      <w:r w:rsidR="002F164A"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nadležno tijelo</w:t>
      </w:r>
      <w:r w:rsidR="008017B6"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u slučajevima i pod uvjetima te</w:t>
      </w:r>
      <w:r w:rsidRPr="00E348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način definiran ovim Pravilima, određuje financijske korekcije.</w:t>
      </w:r>
    </w:p>
    <w:p w14:paraId="775BB55E" w14:textId="77777777" w:rsidR="00D0103E" w:rsidRPr="00E348A5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9D841" w14:textId="77777777" w:rsidR="00D0103E" w:rsidRPr="00E348A5" w:rsidRDefault="00D0103E" w:rsidP="00D0103E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6FF9E7E3" w14:textId="77777777" w:rsidR="00D0103E" w:rsidRPr="00E348A5" w:rsidRDefault="00D0103E" w:rsidP="00D0103E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41EB18" w14:textId="77777777" w:rsidR="00D0103E" w:rsidRPr="00E348A5" w:rsidRDefault="00BD6F0E" w:rsidP="00A52DC7">
      <w:pPr>
        <w:spacing w:before="0" w:after="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A52DC7"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D0103E"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>ojedini pojmovi u smislu ovih P</w:t>
      </w:r>
      <w:r w:rsidR="00A52DC7"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>ravila imaju sljedeće značenje</w:t>
      </w:r>
      <w:r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8E4ECD5" w14:textId="77777777" w:rsidR="00D0103E" w:rsidRPr="00E348A5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5E7D8C" w14:textId="102C4CEC" w:rsidR="00D0103E" w:rsidRPr="00E348A5" w:rsidRDefault="00A52DC7" w:rsidP="00310F62">
      <w:pPr>
        <w:autoSpaceDE w:val="0"/>
        <w:autoSpaceDN w:val="0"/>
        <w:adjustRightInd w:val="0"/>
        <w:spacing w:before="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0103E"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0103E" w:rsidRPr="00E348A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Financijska korekcija</w:t>
      </w:r>
      <w:r w:rsidR="00D0103E" w:rsidRPr="00E348A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hr-HR"/>
        </w:rPr>
        <w:footnoteReference w:id="1"/>
      </w:r>
      <w:r w:rsidR="00D0103E"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instrument kojim se nakon što je </w:t>
      </w:r>
      <w:r w:rsidR="002F164A"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 tijelo utvrdil</w:t>
      </w:r>
      <w:r w:rsidR="00D0103E"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>o nepravilnost koju je počinio</w:t>
      </w:r>
      <w:r w:rsidR="00310F62"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prijavitelj odnosno</w:t>
      </w:r>
      <w:r w:rsidR="00D0103E"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korisnik </w:t>
      </w:r>
      <w:r w:rsidR="002F164A"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posebnih</w:t>
      </w:r>
      <w:r w:rsidR="00D0103E" w:rsidRPr="00E348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sredstava,</w:t>
      </w:r>
      <w:r w:rsidR="00D0103E" w:rsidRPr="00E348A5">
        <w:rPr>
          <w:rFonts w:ascii="Times New Roman" w:eastAsia="Calibri" w:hAnsi="Times New Roman" w:cs="Times New Roman"/>
          <w:sz w:val="24"/>
          <w:szCs w:val="24"/>
        </w:rPr>
        <w:t xml:space="preserve"> umanjuju </w:t>
      </w:r>
      <w:r w:rsidR="002F164A" w:rsidRPr="00E348A5">
        <w:rPr>
          <w:rFonts w:ascii="Times New Roman" w:eastAsia="Calibri" w:hAnsi="Times New Roman" w:cs="Times New Roman"/>
          <w:sz w:val="24"/>
          <w:szCs w:val="24"/>
        </w:rPr>
        <w:t>posebna</w:t>
      </w:r>
      <w:r w:rsidR="00D0103E" w:rsidRPr="00E348A5">
        <w:rPr>
          <w:rFonts w:ascii="Times New Roman" w:eastAsia="Calibri" w:hAnsi="Times New Roman" w:cs="Times New Roman"/>
          <w:sz w:val="24"/>
          <w:szCs w:val="24"/>
        </w:rPr>
        <w:t xml:space="preserve"> sredstva iz ugovora i nalaže povrat cijelog ili dijela financiranja isplaćenog korisniku.</w:t>
      </w:r>
    </w:p>
    <w:p w14:paraId="6103395A" w14:textId="522B6F8C" w:rsidR="000E45B1" w:rsidRPr="00E348A5" w:rsidRDefault="000E45B1" w:rsidP="000E45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Pr="00E348A5">
        <w:rPr>
          <w:rFonts w:ascii="Times New Roman" w:eastAsia="Times New Roman" w:hAnsi="Times New Roman" w:cs="Times New Roman"/>
          <w:i/>
          <w:sz w:val="24"/>
          <w:szCs w:val="24"/>
        </w:rPr>
        <w:t>Nadležno tijelo</w:t>
      </w:r>
      <w:r w:rsidRPr="00E348A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r w:rsidR="00DB6235" w:rsidRPr="00E348A5">
        <w:rPr>
          <w:rFonts w:ascii="Times New Roman" w:eastAsia="Times New Roman" w:hAnsi="Times New Roman" w:cs="Times New Roman"/>
          <w:sz w:val="24"/>
          <w:szCs w:val="24"/>
        </w:rPr>
        <w:t>Zavod za vještačenje, profesionalnu rehabilitaciju i zapošljavanje osoba s invaliditetom.</w:t>
      </w:r>
    </w:p>
    <w:p w14:paraId="53BC1533" w14:textId="4636B0D0" w:rsidR="00D0103E" w:rsidRPr="00A60E1A" w:rsidRDefault="00A52DC7" w:rsidP="006413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0103E" w:rsidRPr="00A60E1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Nepravilnost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D0103E" w:rsidRPr="00A60E1A">
        <w:rPr>
          <w:rFonts w:ascii="Times New Roman" w:eastAsia="Calibri" w:hAnsi="Times New Roman" w:cs="Times New Roman"/>
          <w:sz w:val="24"/>
          <w:szCs w:val="24"/>
        </w:rPr>
        <w:t xml:space="preserve">kršenje prava Europske unije ili nacionalnog prava u vezi s njegovom primjenom koje proizlazi iz djelovanja ili propusta gospodarskog subjekta uključenog u provedbu </w:t>
      </w:r>
      <w:r w:rsidR="00774610">
        <w:rPr>
          <w:rFonts w:ascii="Times New Roman" w:eastAsia="Calibri" w:hAnsi="Times New Roman" w:cs="Times New Roman"/>
          <w:sz w:val="24"/>
          <w:szCs w:val="24"/>
        </w:rPr>
        <w:t>projekta</w:t>
      </w:r>
      <w:r w:rsidR="00DB6235" w:rsidRPr="00A60E1A">
        <w:rPr>
          <w:rFonts w:ascii="Times New Roman" w:eastAsia="Calibri" w:hAnsi="Times New Roman" w:cs="Times New Roman"/>
          <w:sz w:val="24"/>
          <w:szCs w:val="24"/>
        </w:rPr>
        <w:t xml:space="preserve"> prijavljenog na Javni </w:t>
      </w:r>
      <w:r w:rsidR="002F164A" w:rsidRPr="00A60E1A">
        <w:rPr>
          <w:rFonts w:ascii="Times New Roman" w:eastAsia="Calibri" w:hAnsi="Times New Roman" w:cs="Times New Roman"/>
          <w:sz w:val="24"/>
          <w:szCs w:val="24"/>
        </w:rPr>
        <w:t>natječaj</w:t>
      </w:r>
      <w:r w:rsidR="00DB6235" w:rsidRPr="00A60E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164A" w:rsidRPr="00A60E1A">
        <w:rPr>
          <w:rFonts w:ascii="Times New Roman" w:eastAsia="Calibri" w:hAnsi="Times New Roman" w:cs="Times New Roman"/>
          <w:sz w:val="24"/>
          <w:szCs w:val="24"/>
        </w:rPr>
        <w:t>nadležnog tijela</w:t>
      </w:r>
      <w:r w:rsidR="00641306" w:rsidRPr="00A60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03E" w:rsidRPr="00A60E1A">
        <w:rPr>
          <w:rFonts w:ascii="Times New Roman" w:eastAsia="Calibri" w:hAnsi="Times New Roman" w:cs="Times New Roman"/>
          <w:sz w:val="24"/>
          <w:szCs w:val="24"/>
        </w:rPr>
        <w:t>koje šteti, ili bi moglo naštetiti proračunu</w:t>
      </w:r>
      <w:r w:rsidR="00641306" w:rsidRPr="00A60E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164A" w:rsidRPr="00A60E1A">
        <w:rPr>
          <w:rFonts w:ascii="Times New Roman" w:eastAsia="Calibri" w:hAnsi="Times New Roman" w:cs="Times New Roman"/>
          <w:sz w:val="24"/>
          <w:szCs w:val="24"/>
        </w:rPr>
        <w:t>nadležnog tijela</w:t>
      </w:r>
      <w:r w:rsidR="00D0103E" w:rsidRPr="00A60E1A">
        <w:rPr>
          <w:rFonts w:ascii="Times New Roman" w:eastAsia="Calibri" w:hAnsi="Times New Roman" w:cs="Times New Roman"/>
          <w:sz w:val="24"/>
          <w:szCs w:val="24"/>
        </w:rPr>
        <w:t xml:space="preserve">, tako da optereti proračun </w:t>
      </w:r>
      <w:r w:rsidR="002F164A" w:rsidRPr="00A60E1A">
        <w:rPr>
          <w:rFonts w:ascii="Times New Roman" w:eastAsia="Calibri" w:hAnsi="Times New Roman" w:cs="Times New Roman"/>
          <w:sz w:val="24"/>
          <w:szCs w:val="24"/>
        </w:rPr>
        <w:t>nadležnog tijela</w:t>
      </w:r>
      <w:r w:rsidR="00D0103E" w:rsidRPr="00A60E1A">
        <w:rPr>
          <w:rFonts w:ascii="Times New Roman" w:eastAsia="Calibri" w:hAnsi="Times New Roman" w:cs="Times New Roman"/>
          <w:sz w:val="24"/>
          <w:szCs w:val="24"/>
        </w:rPr>
        <w:t xml:space="preserve"> neopravdanim izdatkom.</w:t>
      </w:r>
    </w:p>
    <w:p w14:paraId="42B01C56" w14:textId="38EE8F92" w:rsidR="003F26C6" w:rsidRPr="00A60E1A" w:rsidRDefault="00BD6F0E" w:rsidP="00D0103E">
      <w:pPr>
        <w:spacing w:before="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E1A">
        <w:rPr>
          <w:rFonts w:ascii="Times New Roman" w:eastAsia="Calibri" w:hAnsi="Times New Roman" w:cs="Times New Roman"/>
          <w:sz w:val="24"/>
          <w:szCs w:val="24"/>
        </w:rPr>
        <w:t>4</w:t>
      </w:r>
      <w:r w:rsidR="00D0103E" w:rsidRPr="00A60E1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0103E" w:rsidRPr="00A60E1A">
        <w:rPr>
          <w:rFonts w:ascii="Times New Roman" w:eastAsia="Calibri" w:hAnsi="Times New Roman" w:cs="Times New Roman"/>
          <w:i/>
          <w:sz w:val="24"/>
          <w:szCs w:val="24"/>
        </w:rPr>
        <w:t>Prijevara</w:t>
      </w:r>
      <w:r w:rsidR="00D0103E" w:rsidRPr="00A60E1A">
        <w:rPr>
          <w:rFonts w:ascii="Times New Roman" w:eastAsia="Calibri" w:hAnsi="Times New Roman" w:cs="Times New Roman"/>
          <w:sz w:val="24"/>
          <w:szCs w:val="24"/>
        </w:rPr>
        <w:t xml:space="preserve"> je svaka namjerna radnja ili propust kao što su uporaba ili predstavljanje lažnih, netočnih ili nepotpunih izjava ili dokumenata, što za rezultat ima krivo doznačivanje ili zadržavanje sredstava iz proračuna</w:t>
      </w:r>
      <w:r w:rsidR="00641306" w:rsidRPr="00A60E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164A" w:rsidRPr="00A60E1A">
        <w:rPr>
          <w:rFonts w:ascii="Times New Roman" w:eastAsia="Calibri" w:hAnsi="Times New Roman" w:cs="Times New Roman"/>
          <w:sz w:val="24"/>
          <w:szCs w:val="24"/>
        </w:rPr>
        <w:t>nadležnog tijela</w:t>
      </w:r>
      <w:r w:rsidR="00D0103E" w:rsidRPr="00A60E1A">
        <w:rPr>
          <w:rFonts w:ascii="Times New Roman" w:eastAsia="Calibri" w:hAnsi="Times New Roman" w:cs="Times New Roman"/>
          <w:sz w:val="24"/>
          <w:szCs w:val="24"/>
        </w:rPr>
        <w:t>, neobjavljivanje podataka</w:t>
      </w:r>
      <w:r w:rsidR="00641306" w:rsidRPr="00A60E1A">
        <w:rPr>
          <w:rFonts w:ascii="Times New Roman" w:eastAsia="Calibri" w:hAnsi="Times New Roman" w:cs="Times New Roman"/>
          <w:sz w:val="24"/>
          <w:szCs w:val="24"/>
        </w:rPr>
        <w:t>,</w:t>
      </w:r>
      <w:r w:rsidR="00D0103E" w:rsidRPr="00A60E1A">
        <w:rPr>
          <w:rFonts w:ascii="Times New Roman" w:eastAsia="Calibri" w:hAnsi="Times New Roman" w:cs="Times New Roman"/>
          <w:sz w:val="24"/>
          <w:szCs w:val="24"/>
        </w:rPr>
        <w:t xml:space="preserve"> što predstavlja kršenje određene obveze s istim učinkom, ili pogrešna primjena takvih sredstava u svrhe različite od onih za koje su namijenjena. Također, prijevara uključuje i bilo koju namjernu radnju ili propust kao što su: korištenje ili predstavljanje lažnih, netočnih ili nepotpunih izjava ili dokumenata, što za rezultat ima nezakonito smanjenje sredstava iz proračuna </w:t>
      </w:r>
      <w:r w:rsidR="002F164A" w:rsidRPr="00A60E1A">
        <w:rPr>
          <w:rFonts w:ascii="Times New Roman" w:eastAsia="Calibri" w:hAnsi="Times New Roman" w:cs="Times New Roman"/>
          <w:sz w:val="24"/>
          <w:szCs w:val="24"/>
        </w:rPr>
        <w:t>Republike Hrvatske</w:t>
      </w:r>
      <w:r w:rsidR="00D0103E" w:rsidRPr="00A60E1A">
        <w:rPr>
          <w:rFonts w:ascii="Times New Roman" w:eastAsia="Calibri" w:hAnsi="Times New Roman" w:cs="Times New Roman"/>
          <w:sz w:val="24"/>
          <w:szCs w:val="24"/>
        </w:rPr>
        <w:t>, neobjavljivanje podataka što predstavlja kršenje određene obveze s istim učinkom, ili pogrešna primjena zakonski dobivene koristi (primjerice, zlouporaba zakonski dobivenih plaćanja poreza) s istim učinkom.</w:t>
      </w:r>
    </w:p>
    <w:p w14:paraId="793BE794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301EE4" w14:textId="77777777" w:rsidR="003A5401" w:rsidRPr="00A60E1A" w:rsidRDefault="00D0103E" w:rsidP="00D0103E">
      <w:pPr>
        <w:spacing w:before="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E1A">
        <w:rPr>
          <w:rFonts w:ascii="Times New Roman" w:eastAsia="Calibri" w:hAnsi="Times New Roman" w:cs="Times New Roman"/>
          <w:sz w:val="24"/>
          <w:szCs w:val="24"/>
        </w:rPr>
        <w:t>Prijevara jest nepravilnost</w:t>
      </w:r>
      <w:r w:rsidR="00F05E7F" w:rsidRPr="00A60E1A">
        <w:rPr>
          <w:rFonts w:ascii="Times New Roman" w:eastAsia="Calibri" w:hAnsi="Times New Roman" w:cs="Times New Roman"/>
          <w:sz w:val="24"/>
          <w:szCs w:val="24"/>
        </w:rPr>
        <w:t>. Podrazumijeva kumulativno ispunjenje sljedećih uvjeta:</w:t>
      </w:r>
    </w:p>
    <w:p w14:paraId="58CFACB2" w14:textId="77777777" w:rsidR="003A5401" w:rsidRPr="00A60E1A" w:rsidRDefault="003A5401" w:rsidP="00960F3F">
      <w:pPr>
        <w:spacing w:before="0" w:after="0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E1A">
        <w:rPr>
          <w:rFonts w:ascii="Times New Roman" w:eastAsia="Calibri" w:hAnsi="Times New Roman" w:cs="Times New Roman"/>
          <w:sz w:val="24"/>
          <w:szCs w:val="24"/>
        </w:rPr>
        <w:t>-</w:t>
      </w:r>
      <w:r w:rsidR="0047353E" w:rsidRPr="00A60E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0E1A">
        <w:rPr>
          <w:rFonts w:ascii="Times New Roman" w:eastAsia="Calibri" w:hAnsi="Times New Roman" w:cs="Times New Roman"/>
          <w:sz w:val="24"/>
          <w:szCs w:val="24"/>
        </w:rPr>
        <w:t>donesena je pravomoćna presuda, i</w:t>
      </w:r>
    </w:p>
    <w:p w14:paraId="32210C65" w14:textId="6C00D130" w:rsidR="00D0103E" w:rsidRPr="00A60E1A" w:rsidRDefault="003A5401" w:rsidP="00960F3F">
      <w:pPr>
        <w:spacing w:before="0" w:after="0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E1A">
        <w:rPr>
          <w:rFonts w:ascii="Times New Roman" w:eastAsia="Calibri" w:hAnsi="Times New Roman" w:cs="Times New Roman"/>
          <w:sz w:val="24"/>
          <w:szCs w:val="24"/>
        </w:rPr>
        <w:t xml:space="preserve">- utvrđena je poveznica između </w:t>
      </w:r>
      <w:r w:rsidR="001C5BBA" w:rsidRPr="00A60E1A">
        <w:rPr>
          <w:rFonts w:ascii="Times New Roman" w:eastAsia="Calibri" w:hAnsi="Times New Roman" w:cs="Times New Roman"/>
          <w:sz w:val="24"/>
          <w:szCs w:val="24"/>
        </w:rPr>
        <w:t>kaznenog djela</w:t>
      </w:r>
      <w:r w:rsidR="00686DA9" w:rsidRPr="00A60E1A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774610">
        <w:rPr>
          <w:rFonts w:ascii="Times New Roman" w:eastAsia="Calibri" w:hAnsi="Times New Roman" w:cs="Times New Roman"/>
          <w:sz w:val="24"/>
          <w:szCs w:val="24"/>
        </w:rPr>
        <w:t>projekta</w:t>
      </w:r>
      <w:r w:rsidR="00686DA9" w:rsidRPr="00A60E1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E54F77" w14:textId="77777777" w:rsidR="005B24FA" w:rsidRPr="00A60E1A" w:rsidRDefault="005B24FA" w:rsidP="003A5401">
      <w:pPr>
        <w:spacing w:before="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265ABA" w14:textId="77777777" w:rsidR="005B24FA" w:rsidRPr="00A60E1A" w:rsidRDefault="005B24FA" w:rsidP="003A5401">
      <w:pPr>
        <w:spacing w:before="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E1A">
        <w:rPr>
          <w:rFonts w:ascii="Times New Roman" w:eastAsia="Calibri" w:hAnsi="Times New Roman" w:cs="Times New Roman"/>
          <w:sz w:val="24"/>
          <w:szCs w:val="24"/>
        </w:rPr>
        <w:t>Nadležno tijelo može sumnjati na prijevaru</w:t>
      </w:r>
      <w:r w:rsidR="000315D1" w:rsidRPr="00A60E1A">
        <w:rPr>
          <w:rFonts w:ascii="Times New Roman" w:eastAsia="Calibri" w:hAnsi="Times New Roman" w:cs="Times New Roman"/>
          <w:sz w:val="24"/>
          <w:szCs w:val="24"/>
        </w:rPr>
        <w:t>, što može biti osnova za poduzimanje određenih radnji</w:t>
      </w:r>
      <w:r w:rsidRPr="00A60E1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776CDE" w14:textId="77777777" w:rsidR="00B15440" w:rsidRPr="00A60E1A" w:rsidRDefault="00B15440" w:rsidP="00D0103E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D2A8215" w14:textId="77777777" w:rsidR="00D0103E" w:rsidRPr="00A60E1A" w:rsidRDefault="00D0103E" w:rsidP="00D0103E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Nadležnost</w:t>
      </w:r>
    </w:p>
    <w:p w14:paraId="72CD2B3B" w14:textId="77777777" w:rsidR="00D0103E" w:rsidRPr="00A60E1A" w:rsidRDefault="00D0103E" w:rsidP="00D0103E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005AD6" w14:textId="77777777" w:rsidR="00D0103E" w:rsidRPr="00A60E1A" w:rsidRDefault="00D0103E" w:rsidP="00D0103E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5CA9ACDD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59946A" w14:textId="16366492" w:rsidR="00D0103E" w:rsidRPr="00A60E1A" w:rsidRDefault="002E32B1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 o financijskoj korekciji i</w:t>
      </w:r>
      <w:r w:rsidR="000E52F8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/ili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mjeri</w:t>
      </w:r>
      <w:r w:rsidR="00960F3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povrata dodijeljenih sredstava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čelnik</w:t>
      </w:r>
      <w:r w:rsidR="002900FC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60F3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nadležnog tijela</w:t>
      </w:r>
      <w:r w:rsidR="002900FC" w:rsidRPr="00A60E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temelju provedenog postupka utvrđivanja nepravilnosti. </w:t>
      </w:r>
    </w:p>
    <w:p w14:paraId="4625FEC0" w14:textId="77777777" w:rsidR="00D0103E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E4586B" w14:textId="77777777" w:rsidR="00A60E1A" w:rsidRPr="00A60E1A" w:rsidRDefault="00A60E1A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AAEB82" w14:textId="77777777" w:rsidR="00D0103E" w:rsidRPr="00A60E1A" w:rsidRDefault="00D0103E" w:rsidP="00D0103E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Postupak određivanja </w:t>
      </w:r>
      <w:r w:rsidRPr="00A60E1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financijske korekcije</w:t>
      </w:r>
    </w:p>
    <w:p w14:paraId="4A19B94F" w14:textId="77777777" w:rsidR="00D0103E" w:rsidRPr="00A60E1A" w:rsidRDefault="00D0103E" w:rsidP="00D0103E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57E6F8CB" w14:textId="77777777" w:rsidR="00D0103E" w:rsidRPr="00A60E1A" w:rsidRDefault="00D0103E" w:rsidP="00D0103E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52E36F91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3BF61F" w14:textId="77777777" w:rsidR="000E45B1" w:rsidRPr="00A60E1A" w:rsidRDefault="000E45B1" w:rsidP="000E45B1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(1) Financijska korekcija određuje se u postupku utvrđivanja nepravilnosti, nakon što je nadležno tijelo utvrdilo nepravilnost.</w:t>
      </w:r>
    </w:p>
    <w:p w14:paraId="695E0B67" w14:textId="77777777" w:rsidR="000E45B1" w:rsidRPr="00A60E1A" w:rsidRDefault="000E45B1" w:rsidP="000E45B1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E87044" w14:textId="39B5F391" w:rsidR="000E45B1" w:rsidRPr="00A60E1A" w:rsidRDefault="000E45B1" w:rsidP="000E45B1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(2) Postupak utvrđivanja nepravilnosti se</w:t>
      </w:r>
      <w:r w:rsidR="000B5E2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provoditi u razdoblju u kojem je korisnik obvezan osigurati trajnost </w:t>
      </w:r>
      <w:r w:rsidR="00273CCF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projekta</w:t>
      </w:r>
      <w:r w:rsidR="00B15440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0B5E2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B15440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ukladno</w:t>
      </w:r>
      <w:r w:rsidR="000B5E2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6E36" w:rsidRPr="00A60E1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odredbama </w:t>
      </w:r>
      <w:r w:rsidR="000B5E24" w:rsidRPr="00A60E1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ugovora</w:t>
      </w:r>
      <w:r w:rsidR="00276E36" w:rsidRPr="00A60E1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koje se odnose na razdoblje trajanja </w:t>
      </w:r>
      <w:r w:rsidR="00273CC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projekta</w:t>
      </w:r>
      <w:r w:rsidR="00B15440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0B27D898" w14:textId="77777777" w:rsidR="000E45B1" w:rsidRPr="00A60E1A" w:rsidRDefault="000E45B1" w:rsidP="000E45B1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ACE450" w14:textId="77777777" w:rsidR="000E45B1" w:rsidRPr="00A60E1A" w:rsidRDefault="0047353E" w:rsidP="000E45B1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="000E45B1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ovim putem prihvaća te razumije da je nadležno tijelo iz čl</w:t>
      </w:r>
      <w:r w:rsidR="003C7235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anka</w:t>
      </w:r>
      <w:r w:rsidR="000E45B1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</w:t>
      </w:r>
      <w:r w:rsidR="003C7235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. ovih Pravila</w:t>
      </w:r>
      <w:r w:rsidR="000E45B1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ovlašteno:</w:t>
      </w:r>
    </w:p>
    <w:p w14:paraId="06CB19A1" w14:textId="77777777" w:rsidR="000E45B1" w:rsidRPr="00A60E1A" w:rsidRDefault="000E45B1" w:rsidP="00AC29B9">
      <w:pPr>
        <w:numPr>
          <w:ilvl w:val="0"/>
          <w:numId w:val="20"/>
        </w:numPr>
        <w:spacing w:before="0"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donijeti odluku o nepravilnosti i odluku o financijskoj korekciji s obrazloženjem povrede na temelju utvrđenog činjeničnog stanja</w:t>
      </w:r>
    </w:p>
    <w:p w14:paraId="5BCA892B" w14:textId="3DA66EDB" w:rsidR="000E45B1" w:rsidRPr="00A60E1A" w:rsidRDefault="000E45B1" w:rsidP="00AC29B9">
      <w:pPr>
        <w:numPr>
          <w:ilvl w:val="0"/>
          <w:numId w:val="20"/>
        </w:numPr>
        <w:spacing w:before="0"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donijeti</w:t>
      </w:r>
      <w:r w:rsidR="0036216C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odluku o nepravilnosti i odluku o financijskoj korekciji,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izmijeniti</w:t>
      </w:r>
      <w:r w:rsidR="00D8271A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i/ili </w:t>
      </w:r>
      <w:r w:rsidR="00A775C8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dopuniti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odluku o nepravilnosti i</w:t>
      </w:r>
      <w:r w:rsidR="00AC29B9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/ili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odluku o financijskoj korekciji u odnosu na 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nepravilnosti </w:t>
      </w:r>
      <w:r w:rsidR="00AC29B9" w:rsidRPr="00A60E1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iz </w:t>
      </w:r>
      <w:r w:rsidR="003D5D17" w:rsidRPr="00A60E1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priloga</w:t>
      </w:r>
      <w:r w:rsidR="00F62664" w:rsidRPr="00A60E1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1, 2 i 3</w:t>
      </w:r>
      <w:r w:rsidR="00AC29B9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ovih P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ravila i to na osnovi nalaza</w:t>
      </w:r>
      <w:r w:rsidR="009D43D3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nadležnog tijela i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tijela koja </w:t>
      </w:r>
      <w:r w:rsidR="00276E36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obavljaju </w:t>
      </w:r>
      <w:r w:rsidR="002E35B9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kontrolu</w:t>
      </w:r>
      <w:r w:rsidR="00276E36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poslovanja korisnika </w:t>
      </w:r>
      <w:r w:rsidR="002E35B9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276E36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vezan</w:t>
      </w:r>
      <w:r w:rsidR="002E35B9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276E36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</w:t>
      </w:r>
      <w:r w:rsidR="00273CCF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</w:t>
      </w:r>
      <w:r w:rsidR="002E35B9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(provedbu </w:t>
      </w:r>
      <w:r w:rsidR="00273CCF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projekta</w:t>
      </w:r>
      <w:r w:rsidR="002E35B9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3C7235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FD2DC3" w14:textId="77777777" w:rsidR="000E45B1" w:rsidRPr="00A60E1A" w:rsidRDefault="000E45B1" w:rsidP="00AC29B9">
      <w:pPr>
        <w:spacing w:before="0"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13DFA" w14:textId="77777777" w:rsidR="000E45B1" w:rsidRPr="00A60E1A" w:rsidRDefault="000E45B1" w:rsidP="000E45B1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Navedeno se ne odnosi na mogućnosti pokretanja odgovarajućih sudskih postupaka, u kojem slučaju se primjenjuju relevantni nacionalni propisi. </w:t>
      </w:r>
    </w:p>
    <w:p w14:paraId="504352C5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CB3D30" w14:textId="32949EC8" w:rsidR="00D0103E" w:rsidRPr="00A60E1A" w:rsidRDefault="003A5FE9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4735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) Nadležno</w:t>
      </w:r>
      <w:r w:rsidR="002E32B1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tijelo zahtijeva od korisnika 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u određenom roku dostave relevantne </w:t>
      </w:r>
      <w:r w:rsidR="002D6680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informacije, dokumentaciju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očitovanja potrebna za odlučivanje o osnovanosti i visini financijsk</w:t>
      </w:r>
      <w:r w:rsidR="002E32B1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korekcij</w:t>
      </w:r>
      <w:r w:rsidR="002E32B1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F72A50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1F0AAB" w14:textId="244787CC" w:rsidR="00D0103E" w:rsidRPr="00A60E1A" w:rsidRDefault="003A5FE9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4735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Propust korisnika </w:t>
      </w:r>
      <w:r w:rsidR="00960F3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da dostavi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14A79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iz stavka 4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ovoga </w:t>
      </w:r>
      <w:r w:rsidR="00DD142A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članka, nadležno tijelo </w:t>
      </w:r>
      <w:r w:rsidR="00714A79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procjenjuje 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uzimajući u obzir sve okolnosti slučaja, a osobito podatke i dokumentaciju kojima raspolaže.</w:t>
      </w:r>
    </w:p>
    <w:p w14:paraId="3EE9002A" w14:textId="77777777" w:rsidR="002D6680" w:rsidRPr="00A60E1A" w:rsidRDefault="002D6680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B80E06" w14:textId="67315A2D" w:rsidR="002D6680" w:rsidRPr="00A60E1A" w:rsidRDefault="00DD142A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4735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Korisniku </w:t>
      </w:r>
      <w:r w:rsidR="002D6680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se omogućava očitovanje u postupku određivanja financijske korekcije.</w:t>
      </w:r>
    </w:p>
    <w:p w14:paraId="2EFEA996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BCBC2D" w14:textId="752A82A6" w:rsidR="00D0103E" w:rsidRPr="00A60E1A" w:rsidRDefault="002D6680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4735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) Nadležno tijelo o utvrđenoj nepravilnosti i</w:t>
      </w:r>
      <w:r w:rsidR="00EE6395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/ili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postupanju ili propuštanju postupanja za koje smatra da ima elemente prekršaja ili kaznenog djela obavještava nadležno pravosudno tijelo. U navedenom slučaju se može odrediti mjera</w:t>
      </w:r>
      <w:r w:rsidR="00960F3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povrata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, u skladu s ovim Pravilima.</w:t>
      </w:r>
    </w:p>
    <w:p w14:paraId="358BFEA3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B48975" w14:textId="1ADDB8E5" w:rsidR="00D0103E" w:rsidRPr="00A60E1A" w:rsidRDefault="002D6680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4735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) Pravomoćna osuđujuća presuda u kaznenom postupku</w:t>
      </w:r>
      <w:r w:rsidR="00EE6395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temelju koje je utvrđeno da je kazneno djelo povezano s </w:t>
      </w:r>
      <w:r w:rsidR="00273CCF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projektom</w:t>
      </w:r>
      <w:r w:rsidR="004D7AA7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(uključujuć</w:t>
      </w:r>
      <w:r w:rsidR="00F05E7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i razloge </w:t>
      </w:r>
      <w:r w:rsidR="00F05E7F" w:rsidRPr="00A60E1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navedene u </w:t>
      </w:r>
      <w:r w:rsidR="00F14DEB" w:rsidRPr="00A60E1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ugovoru koje se odnose na raskid ugovora</w:t>
      </w:r>
      <w:r w:rsidR="004D7AA7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razlog za obvezni raskid ugovora o dodjeli </w:t>
      </w:r>
      <w:r w:rsidR="00B555A9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posebnih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sredstava i povrat cjelokupnog iznosa </w:t>
      </w:r>
      <w:r w:rsidR="00B555A9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posebnih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sredstava primljenog po osnovi navedenog ugovora.</w:t>
      </w:r>
    </w:p>
    <w:p w14:paraId="670A29F7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F8C81E" w14:textId="6E6C6EC6" w:rsidR="003A5FE9" w:rsidRPr="00A60E1A" w:rsidRDefault="003A5FE9" w:rsidP="003A5FE9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4735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) U postupku utvrđivanja nepravilnosti, u roku iz stavka 2. ovoga članka</w:t>
      </w:r>
      <w:r w:rsidR="002537E5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</w:t>
      </w:r>
      <w:r w:rsidR="000251AB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že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sudjelovati i </w:t>
      </w:r>
      <w:r w:rsidR="00B15440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nadležno za rad.</w:t>
      </w:r>
    </w:p>
    <w:p w14:paraId="4913B76A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704776" w14:textId="77777777" w:rsidR="00D0103E" w:rsidRPr="00A60E1A" w:rsidRDefault="00D0103E" w:rsidP="00D0103E">
      <w:pPr>
        <w:spacing w:before="0" w:after="0"/>
        <w:ind w:left="283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     Odluka o financijskoj korekciji</w:t>
      </w:r>
    </w:p>
    <w:p w14:paraId="32722733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56A53E" w14:textId="77777777" w:rsidR="00D0103E" w:rsidRPr="00A60E1A" w:rsidRDefault="00D0103E" w:rsidP="00D0103E">
      <w:pPr>
        <w:spacing w:before="0" w:after="0"/>
        <w:ind w:left="35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14:paraId="770E33EE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EB2DB0" w14:textId="20B7EC95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(1) Odluka o financijskoj korekciji</w:t>
      </w:r>
      <w:r w:rsidR="0046268D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čelnika </w:t>
      </w:r>
      <w:r w:rsidR="00B15440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nadležnog tijela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744BF6F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70E0F6" w14:textId="23016272" w:rsidR="00D0103E" w:rsidRPr="00A60E1A" w:rsidRDefault="00D0103E" w:rsidP="00D0103E">
      <w:pPr>
        <w:spacing w:before="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E1A">
        <w:rPr>
          <w:rFonts w:ascii="Times New Roman" w:eastAsia="Calibri" w:hAnsi="Times New Roman" w:cs="Times New Roman"/>
          <w:sz w:val="24"/>
          <w:szCs w:val="24"/>
        </w:rPr>
        <w:t>(2) Odluka o financijskoj korekciji je</w:t>
      </w:r>
      <w:r w:rsidR="0046268D" w:rsidRPr="00A60E1A">
        <w:rPr>
          <w:rFonts w:ascii="Times New Roman" w:eastAsia="Calibri" w:hAnsi="Times New Roman" w:cs="Times New Roman"/>
          <w:sz w:val="24"/>
          <w:szCs w:val="24"/>
        </w:rPr>
        <w:t xml:space="preserve"> sastavni</w:t>
      </w:r>
      <w:r w:rsidRPr="00A60E1A">
        <w:rPr>
          <w:rFonts w:ascii="Times New Roman" w:eastAsia="Calibri" w:hAnsi="Times New Roman" w:cs="Times New Roman"/>
          <w:sz w:val="24"/>
          <w:szCs w:val="24"/>
        </w:rPr>
        <w:t xml:space="preserve"> dio odluke o utvrđenoj nepravilnosti, a može se donijeti i </w:t>
      </w:r>
      <w:r w:rsidR="004D07B7" w:rsidRPr="00A60E1A">
        <w:rPr>
          <w:rFonts w:ascii="Times New Roman" w:eastAsia="Calibri" w:hAnsi="Times New Roman" w:cs="Times New Roman"/>
          <w:sz w:val="24"/>
          <w:szCs w:val="24"/>
        </w:rPr>
        <w:t>kao zasebna odluka</w:t>
      </w:r>
      <w:r w:rsidRPr="00A60E1A">
        <w:rPr>
          <w:rFonts w:ascii="Times New Roman" w:eastAsia="Calibri" w:hAnsi="Times New Roman" w:cs="Times New Roman"/>
          <w:sz w:val="24"/>
          <w:szCs w:val="24"/>
        </w:rPr>
        <w:t xml:space="preserve"> te sadrži</w:t>
      </w:r>
      <w:r w:rsidR="000251AB" w:rsidRPr="00A60E1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C731CD3" w14:textId="77777777" w:rsidR="00D0103E" w:rsidRPr="00A60E1A" w:rsidRDefault="00D0103E" w:rsidP="00D0103E">
      <w:pPr>
        <w:spacing w:before="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25B439" w14:textId="77777777" w:rsidR="00D0103E" w:rsidRPr="00A60E1A" w:rsidRDefault="00D0103E" w:rsidP="00A022A9">
      <w:pPr>
        <w:spacing w:before="0"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E1A">
        <w:rPr>
          <w:rFonts w:ascii="Times New Roman" w:eastAsia="Calibri" w:hAnsi="Times New Roman" w:cs="Times New Roman"/>
          <w:sz w:val="24"/>
          <w:szCs w:val="24"/>
        </w:rPr>
        <w:t>- opis i oznaku nepravilnosti u odnosu na koju se financijska korekcija određuje</w:t>
      </w:r>
    </w:p>
    <w:p w14:paraId="429B76B7" w14:textId="1A9C0F84" w:rsidR="00D0103E" w:rsidRPr="00A60E1A" w:rsidRDefault="00D0103E" w:rsidP="00A022A9">
      <w:pPr>
        <w:spacing w:before="0"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E1A">
        <w:rPr>
          <w:rFonts w:ascii="Times New Roman" w:eastAsia="Calibri" w:hAnsi="Times New Roman" w:cs="Times New Roman"/>
          <w:sz w:val="24"/>
          <w:szCs w:val="24"/>
        </w:rPr>
        <w:t>- naznaku visine financijske korekcije</w:t>
      </w:r>
    </w:p>
    <w:p w14:paraId="0D3B4743" w14:textId="77777777" w:rsidR="00D0103E" w:rsidRPr="00A60E1A" w:rsidRDefault="00D0103E" w:rsidP="00A022A9">
      <w:pPr>
        <w:spacing w:before="0"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E1A">
        <w:rPr>
          <w:rFonts w:ascii="Times New Roman" w:eastAsia="Calibri" w:hAnsi="Times New Roman" w:cs="Times New Roman"/>
          <w:sz w:val="24"/>
          <w:szCs w:val="24"/>
        </w:rPr>
        <w:t>- obrazloženje</w:t>
      </w:r>
    </w:p>
    <w:p w14:paraId="71085BE4" w14:textId="77777777" w:rsidR="00D0103E" w:rsidRPr="00A60E1A" w:rsidRDefault="00EE6395" w:rsidP="00A022A9">
      <w:pPr>
        <w:spacing w:before="0"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E1A">
        <w:rPr>
          <w:rFonts w:ascii="Times New Roman" w:eastAsia="Calibri" w:hAnsi="Times New Roman" w:cs="Times New Roman"/>
          <w:sz w:val="24"/>
          <w:szCs w:val="24"/>
        </w:rPr>
        <w:t>- uputu o pravnom lijek</w:t>
      </w:r>
      <w:r w:rsidR="001453C8" w:rsidRPr="00A60E1A">
        <w:rPr>
          <w:rFonts w:ascii="Times New Roman" w:eastAsia="Calibri" w:hAnsi="Times New Roman" w:cs="Times New Roman"/>
          <w:sz w:val="24"/>
          <w:szCs w:val="24"/>
        </w:rPr>
        <w:t>u</w:t>
      </w:r>
      <w:r w:rsidR="00D0103E" w:rsidRPr="00A60E1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93B635" w14:textId="77777777" w:rsidR="00D0103E" w:rsidRPr="00A60E1A" w:rsidRDefault="00D0103E" w:rsidP="00D0103E">
      <w:pPr>
        <w:spacing w:before="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48962C" w14:textId="77777777" w:rsidR="00D0103E" w:rsidRPr="00A60E1A" w:rsidRDefault="00D0103E" w:rsidP="0045218C">
      <w:pPr>
        <w:spacing w:before="0" w:after="0"/>
        <w:ind w:left="1416"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60E1A">
        <w:rPr>
          <w:rFonts w:ascii="Times New Roman" w:eastAsia="Calibri" w:hAnsi="Times New Roman" w:cs="Times New Roman"/>
          <w:b/>
          <w:i/>
          <w:sz w:val="24"/>
          <w:szCs w:val="24"/>
        </w:rPr>
        <w:t>Vrste financijskih korekcija</w:t>
      </w:r>
      <w:r w:rsidR="0045218C" w:rsidRPr="00A60E1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i način izvršenja</w:t>
      </w:r>
    </w:p>
    <w:p w14:paraId="44B5F166" w14:textId="77777777" w:rsidR="00D0103E" w:rsidRPr="00A60E1A" w:rsidRDefault="00D0103E" w:rsidP="00D0103E">
      <w:pPr>
        <w:spacing w:before="0"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2FAA09D" w14:textId="77777777" w:rsidR="00D0103E" w:rsidRPr="00A60E1A" w:rsidRDefault="00D0103E" w:rsidP="00D0103E">
      <w:pPr>
        <w:spacing w:before="0" w:after="0"/>
        <w:ind w:left="3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E1A">
        <w:rPr>
          <w:rFonts w:ascii="Times New Roman" w:eastAsia="Calibri" w:hAnsi="Times New Roman" w:cs="Times New Roman"/>
          <w:sz w:val="24"/>
          <w:szCs w:val="24"/>
        </w:rPr>
        <w:t xml:space="preserve">     Članak 6.</w:t>
      </w:r>
    </w:p>
    <w:p w14:paraId="254356FB" w14:textId="77777777" w:rsidR="00D0103E" w:rsidRPr="00A60E1A" w:rsidRDefault="0045218C" w:rsidP="004521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E1A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D0103E" w:rsidRPr="00A60E1A">
        <w:rPr>
          <w:rFonts w:ascii="Times New Roman" w:eastAsia="Calibri" w:hAnsi="Times New Roman" w:cs="Times New Roman"/>
          <w:sz w:val="24"/>
          <w:szCs w:val="24"/>
        </w:rPr>
        <w:t>Vrste financijskih korekcija su sljedeće:</w:t>
      </w:r>
    </w:p>
    <w:p w14:paraId="236CA9B6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B76C62" w14:textId="2B55B50A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A60E1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Jednostavna financijska korekcija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390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označava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</w:t>
      </w:r>
      <w:r w:rsidR="002C390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korekcij</w:t>
      </w:r>
      <w:r w:rsidR="002C390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je jednaka visini nastal</w:t>
      </w:r>
      <w:r w:rsidR="002C390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390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financijske posljedice za ugovor o dodjeli </w:t>
      </w:r>
      <w:r w:rsidR="00A022A9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posebnih</w:t>
      </w:r>
      <w:r w:rsidR="002C390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sredstava, kada je tu posljedicu moguće količinski točno odrediti.</w:t>
      </w:r>
    </w:p>
    <w:p w14:paraId="09C5A719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A82619" w14:textId="2334418C" w:rsidR="0045218C" w:rsidRPr="00A60E1A" w:rsidRDefault="00D83842" w:rsidP="0045218C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2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0103E" w:rsidRPr="00A60E1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Paušalna financijska korekcija</w:t>
      </w:r>
      <w:r w:rsidR="002C390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označava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753B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stop</w:t>
      </w:r>
      <w:r w:rsidR="002C390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70753B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korekcij</w:t>
      </w:r>
      <w:r w:rsidR="002C390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70753B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primjenjuje kada nije moguće količinski točno odrediti financijske posljedice za </w:t>
      </w:r>
      <w:r w:rsidR="002C390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o dodjeli </w:t>
      </w:r>
      <w:r w:rsidR="00A022A9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posebnih sredstava</w:t>
      </w:r>
      <w:r w:rsidR="002C390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CA79E2" w14:textId="77777777" w:rsidR="0045218C" w:rsidRPr="00A60E1A" w:rsidRDefault="0045218C" w:rsidP="0045218C">
      <w:pPr>
        <w:spacing w:before="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B27CAF" w14:textId="4E44E46C" w:rsidR="0045218C" w:rsidRPr="00A60E1A" w:rsidRDefault="0045218C" w:rsidP="0045218C">
      <w:pPr>
        <w:spacing w:before="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E1A">
        <w:rPr>
          <w:rFonts w:ascii="Times New Roman" w:eastAsia="Calibri" w:hAnsi="Times New Roman" w:cs="Times New Roman"/>
          <w:sz w:val="24"/>
          <w:szCs w:val="24"/>
        </w:rPr>
        <w:t xml:space="preserve">(2) Izvršenje financijske korekcije se obavlja </w:t>
      </w:r>
      <w:r w:rsidR="009D43D3" w:rsidRPr="00A60E1A">
        <w:rPr>
          <w:rFonts w:ascii="Times New Roman" w:eastAsia="Calibri" w:hAnsi="Times New Roman" w:cs="Times New Roman"/>
          <w:sz w:val="24"/>
          <w:szCs w:val="24"/>
        </w:rPr>
        <w:t>metodom povrata namjenski neutrošenih sredstava jednokratnom uplatom ili uplatom u obrocima od strane korisnika u iznosu utvrđenom u postupku određivanja visine financijske korekcije.</w:t>
      </w:r>
    </w:p>
    <w:p w14:paraId="387021BA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CAACD2" w14:textId="1A57362D" w:rsidR="0045218C" w:rsidRPr="00A60E1A" w:rsidRDefault="0045218C" w:rsidP="0045218C">
      <w:pPr>
        <w:spacing w:before="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E1A">
        <w:rPr>
          <w:rFonts w:ascii="Times New Roman" w:eastAsia="Calibri" w:hAnsi="Times New Roman" w:cs="Times New Roman"/>
          <w:sz w:val="24"/>
          <w:szCs w:val="24"/>
        </w:rPr>
        <w:t xml:space="preserve">(3) U slučaju neefikasne naplate potraživanja po metodi </w:t>
      </w:r>
      <w:r w:rsidR="009D43D3" w:rsidRPr="00A60E1A">
        <w:rPr>
          <w:rFonts w:ascii="Times New Roman" w:eastAsia="Calibri" w:hAnsi="Times New Roman" w:cs="Times New Roman"/>
          <w:sz w:val="24"/>
          <w:szCs w:val="24"/>
        </w:rPr>
        <w:t>iz</w:t>
      </w:r>
      <w:r w:rsidRPr="00A60E1A">
        <w:rPr>
          <w:rFonts w:ascii="Times New Roman" w:eastAsia="Calibri" w:hAnsi="Times New Roman" w:cs="Times New Roman"/>
          <w:sz w:val="24"/>
          <w:szCs w:val="24"/>
        </w:rPr>
        <w:t xml:space="preserve"> stavka 2. ovoga članka, </w:t>
      </w:r>
      <w:r w:rsidR="009D43D3" w:rsidRPr="00A60E1A">
        <w:rPr>
          <w:rFonts w:ascii="Times New Roman" w:eastAsia="Calibri" w:hAnsi="Times New Roman" w:cs="Times New Roman"/>
          <w:sz w:val="24"/>
          <w:szCs w:val="24"/>
        </w:rPr>
        <w:t xml:space="preserve">pristupa se naplata nenamjenski utrošenih sredstava iz sredstava osiguranja tražbine nadležnog tijela (sukladno </w:t>
      </w:r>
      <w:r w:rsidR="009D43D3" w:rsidRPr="00A60E1A">
        <w:rPr>
          <w:rFonts w:ascii="Times New Roman" w:eastAsia="Calibri" w:hAnsi="Times New Roman" w:cs="Times New Roman"/>
          <w:sz w:val="24"/>
          <w:szCs w:val="24"/>
          <w:u w:val="single"/>
        </w:rPr>
        <w:t>odredbama ugovora koje se odnose na osiguranje tražbine nadležnog tijela</w:t>
      </w:r>
      <w:r w:rsidR="009D43D3" w:rsidRPr="00A60E1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A54C7D6" w14:textId="77777777" w:rsidR="0089336D" w:rsidRPr="00A60E1A" w:rsidRDefault="0089336D" w:rsidP="0045218C">
      <w:pPr>
        <w:spacing w:before="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348BCF" w14:textId="77777777" w:rsidR="00A60E1A" w:rsidRDefault="00A60E1A" w:rsidP="00D0103E">
      <w:pPr>
        <w:spacing w:before="0" w:after="0"/>
        <w:ind w:left="283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1D02F7" w14:textId="77777777" w:rsidR="00D0103E" w:rsidRPr="00A60E1A" w:rsidRDefault="00D0103E" w:rsidP="00D0103E">
      <w:pPr>
        <w:spacing w:before="0" w:after="0"/>
        <w:ind w:left="283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Pr="00A60E1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Visina financijske korekcije</w:t>
      </w:r>
    </w:p>
    <w:p w14:paraId="1707B937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5933A5" w14:textId="77777777" w:rsidR="00D0103E" w:rsidRPr="00A60E1A" w:rsidRDefault="00D0103E" w:rsidP="00D0103E">
      <w:pPr>
        <w:spacing w:before="0" w:after="0"/>
        <w:ind w:left="3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Članak 7.</w:t>
      </w:r>
    </w:p>
    <w:p w14:paraId="5F1F116A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EBEC7E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(1) Financijska korekcija se određuje kao jednostavna financijska korekcija.</w:t>
      </w:r>
    </w:p>
    <w:p w14:paraId="06DC8793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49D829" w14:textId="77777777" w:rsidR="00D0103E" w:rsidRPr="00A60E1A" w:rsidRDefault="00D83842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(2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) Ako određivanje jednostavne financijske korekcije nije moguće ili je povezano s nerazmjernim troškovima i poteškoćama, nadležno</w:t>
      </w:r>
      <w:r w:rsidR="00F63362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tijelo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određuje financijsku korekciju u paušalnom iznosu. </w:t>
      </w:r>
    </w:p>
    <w:p w14:paraId="0CF67ADC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D3F4DB" w14:textId="7B981F4C" w:rsidR="00D0103E" w:rsidRPr="00A60E1A" w:rsidRDefault="00D83842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(3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Nadležno tijelo određuje financijsku korekciju u paušalnom iznosu primjenom </w:t>
      </w:r>
      <w:r w:rsidR="00F6266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Priloga 1 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Nepravilnosti u kojima se od</w:t>
      </w:r>
      <w:r w:rsidR="008B6D0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ređuje financijska korekcija – </w:t>
      </w:r>
      <w:r w:rsidR="001714D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obveznici Zakona o javnoj nabavi</w:t>
      </w:r>
      <w:r w:rsidR="00F6266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Prilog 1)</w:t>
      </w:r>
      <w:r w:rsidR="00704E9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6266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Priloga 2 </w:t>
      </w:r>
      <w:r w:rsidR="008B6D0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Nepravilnosti u kojima se određuje financijska korekcija –</w:t>
      </w:r>
      <w:r w:rsidR="00EB1E11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B6D0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nabav</w:t>
      </w:r>
      <w:r w:rsidR="00F6266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B6D0F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koju provode </w:t>
      </w:r>
      <w:proofErr w:type="spellStart"/>
      <w:r w:rsidR="004735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neobveznici</w:t>
      </w:r>
      <w:proofErr w:type="spellEnd"/>
      <w:r w:rsidR="00F6266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javnoj nabavi (u daljnjem tekstu: Prilog 2)</w:t>
      </w:r>
      <w:r w:rsidR="00704E9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Priloga 3 Nepravilnosti u kojima se od</w:t>
      </w:r>
      <w:r w:rsidR="00F6266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ređuje financijska korekcija – n</w:t>
      </w:r>
      <w:r w:rsidR="00704E9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epravilnosti izuzev nepravilnosti u </w:t>
      </w:r>
      <w:r w:rsidR="00192A1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postupcima </w:t>
      </w:r>
      <w:r w:rsidR="00F6266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(javnih) nabava (u daljnjem tekstu: Prilog 3)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, koji čine sastavni dio ovih Pravila.</w:t>
      </w:r>
    </w:p>
    <w:p w14:paraId="6C655278" w14:textId="77777777" w:rsidR="00CE21D3" w:rsidRPr="00A60E1A" w:rsidRDefault="00CE21D3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19A86E" w14:textId="77777777" w:rsidR="00CE21D3" w:rsidRPr="00A60E1A" w:rsidRDefault="00CE21D3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Vrste nepravilnosti opisane u </w:t>
      </w:r>
      <w:r w:rsidR="001714D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Prilogu 1</w:t>
      </w:r>
      <w:r w:rsidR="00704E9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714D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Prilogu 2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4E9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Prilogu 3 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najčešće vrste nepravilnosti. Ostale nepravilnosti, koje nisu navedene u </w:t>
      </w:r>
      <w:r w:rsidR="001714D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tim Prilozima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utvrđuju se te se financijske korekcije određuju na temelju opisa nepravilnosti koji u velikom dijelu odgovara opisu nepravilnosti iz Priloga </w:t>
      </w:r>
      <w:r w:rsidR="001714D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04E9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714D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Priloga 2</w:t>
      </w:r>
      <w:r w:rsidR="00704E9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Priloga 3</w:t>
      </w:r>
      <w:r w:rsidR="003519F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, primjenjujući načelo proporcionalnosti.</w:t>
      </w:r>
    </w:p>
    <w:p w14:paraId="215F278E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7D30C6" w14:textId="77777777" w:rsidR="00D0103E" w:rsidRPr="00A60E1A" w:rsidRDefault="00CE21D3" w:rsidP="003519FE">
      <w:p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(5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) Prilikom određivanja paušalne financijske korekcije</w:t>
      </w:r>
      <w:r w:rsidR="009D728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stavkom 4. ovoga članka,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A430D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stopa 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paušalne financijske korekcije se određuje </w:t>
      </w:r>
      <w:r w:rsidR="003519F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 da se primjeni stopa financijske korekcije </w:t>
      </w:r>
      <w:r w:rsidR="009D728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iz Priloga 1</w:t>
      </w:r>
      <w:r w:rsidR="00704E9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D728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4E9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Priloga </w:t>
      </w:r>
      <w:r w:rsidR="009D728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04E9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Priloga 3</w:t>
      </w:r>
      <w:r w:rsidR="009D728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koja se primjenjuje u slučaju nepravilnosti čijem opisu u velikom dijelu </w:t>
      </w:r>
      <w:r w:rsidR="002169D3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odgovara </w:t>
      </w:r>
      <w:r w:rsidR="009D728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utvrđena nepravilnost.</w:t>
      </w:r>
    </w:p>
    <w:p w14:paraId="0FC512FE" w14:textId="77777777" w:rsidR="00396E40" w:rsidRPr="00A60E1A" w:rsidRDefault="00396E40" w:rsidP="003519FE">
      <w:p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7665CE" w14:textId="77777777" w:rsidR="00396E40" w:rsidRPr="00A60E1A" w:rsidRDefault="00396E40" w:rsidP="00396E40">
      <w:p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(6) </w:t>
      </w:r>
      <w:r w:rsidR="00A23CAB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Ako nadležno tijelo opravdano smatra da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okolnosti slučaja to opravdavaju, može donijeti odluku o smanjenju </w:t>
      </w:r>
      <w:r w:rsidR="00A23CAB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financijske korekcije, u slučajevima </w:t>
      </w:r>
      <w:r w:rsidR="00F04AB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(i na stopu) </w:t>
      </w:r>
      <w:r w:rsidR="00A23CAB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u kojima je to</w:t>
      </w:r>
      <w:r w:rsidR="00465D3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, u skladu s Prilogom 1</w:t>
      </w:r>
      <w:r w:rsidR="00704E9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65D3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Prilogom 2</w:t>
      </w:r>
      <w:r w:rsidR="00704E9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Prilogom 3</w:t>
      </w:r>
      <w:r w:rsidR="00A23CAB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dozvoljeno</w:t>
      </w:r>
      <w:r w:rsidR="00CF08F3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, kao i na stopu manju od 5%, uslijed posebno olakotnih okolnosti slučaja.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</w:t>
      </w:r>
      <w:r w:rsidR="009016F1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CF08F3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</w:t>
      </w:r>
      <w:r w:rsidR="00CF08F3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biti obrazložen</w:t>
      </w:r>
      <w:r w:rsidR="00CF08F3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2C46E8" w14:textId="77777777" w:rsidR="00D0103E" w:rsidRPr="00A60E1A" w:rsidRDefault="00D0103E" w:rsidP="00D0103E">
      <w:p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A91F87" w14:textId="0B6AE2A8" w:rsidR="00B20D58" w:rsidRPr="00A60E1A" w:rsidRDefault="00B20D58" w:rsidP="00D0103E">
      <w:p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(7)</w:t>
      </w:r>
      <w:r w:rsidR="00BF783D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 se u odnosu na jedan postupak </w:t>
      </w:r>
      <w:r w:rsidR="008905B5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(javne) 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nabave, odnosno ugovor o do</w:t>
      </w:r>
      <w:r w:rsidR="00665266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djel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F6266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posebnih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 utvrde brojne nepravilnosti, stope financijskih korekcija nisu kumulativne, već </w:t>
      </w:r>
      <w:r w:rsidR="00F34F10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se u svrhu određivanja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visin</w:t>
      </w:r>
      <w:r w:rsidR="00F34F10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(stop</w:t>
      </w:r>
      <w:r w:rsidR="00F34F10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05398A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financijske 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korekcije uzima najozbiljnija nepravilnost.</w:t>
      </w:r>
    </w:p>
    <w:p w14:paraId="6B2B5170" w14:textId="77777777" w:rsidR="00B20D58" w:rsidRPr="00A60E1A" w:rsidRDefault="00B20D58" w:rsidP="00D0103E">
      <w:p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E015E4" w14:textId="13BDCB02" w:rsidR="00D0103E" w:rsidRPr="00A60E1A" w:rsidRDefault="00B20D58" w:rsidP="00D0103E">
      <w:p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(8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Prilikom određivanja paušalne financijske korekcije osobito se uzima u obzir </w:t>
      </w:r>
      <w:r w:rsidR="003424F9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postupanje </w:t>
      </w:r>
      <w:r w:rsidR="00665266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prijavitelja</w:t>
      </w:r>
      <w:r w:rsidR="00A63DBC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65266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odnosno </w:t>
      </w:r>
      <w:r w:rsidR="003424F9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korisnika u odnosu na</w:t>
      </w:r>
      <w:r w:rsidR="000F6055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sljedeć</w:t>
      </w:r>
      <w:r w:rsidR="003424F9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0F6055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</w:t>
      </w:r>
      <w:r w:rsidR="003424F9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6AB4D4B8" w14:textId="77777777" w:rsidR="00D0103E" w:rsidRPr="00A60E1A" w:rsidRDefault="00D0103E" w:rsidP="00D0103E">
      <w:p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5191A7" w14:textId="77777777" w:rsidR="00D0103E" w:rsidRPr="00A60E1A" w:rsidRDefault="00D0103E" w:rsidP="00FB680B">
      <w:pPr>
        <w:numPr>
          <w:ilvl w:val="0"/>
          <w:numId w:val="4"/>
        </w:numPr>
        <w:spacing w:before="0" w:after="0"/>
        <w:ind w:left="56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načelo transparentnosti</w:t>
      </w:r>
      <w:r w:rsidR="00806DCB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jednakog postupanja</w:t>
      </w:r>
      <w:r w:rsidR="00396E40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248C8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nediskriminacije</w:t>
      </w:r>
      <w:r w:rsidR="00806DCB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6E40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06DCB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razmjernosti</w:t>
      </w:r>
      <w:r w:rsidR="00806DCB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, kako su opisani u pravilima javne nabave, odnosno u pravilima koje primjenjuju osobe koje nisu obveznici Zakona o javnoj nabavi</w:t>
      </w:r>
      <w:r w:rsidR="00192A1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B09B5BD" w14:textId="77777777" w:rsidR="00F62664" w:rsidRPr="00A60E1A" w:rsidRDefault="00D83842" w:rsidP="00795DD3">
      <w:pPr>
        <w:numPr>
          <w:ilvl w:val="0"/>
          <w:numId w:val="4"/>
        </w:numPr>
        <w:spacing w:before="0" w:after="0"/>
        <w:ind w:left="567"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ozbiljnost </w:t>
      </w:r>
      <w:r w:rsidR="00D0103E" w:rsidRPr="00A60E1A">
        <w:rPr>
          <w:rFonts w:ascii="Times New Roman" w:hAnsi="Times New Roman" w:cs="Times New Roman"/>
          <w:sz w:val="24"/>
          <w:szCs w:val="24"/>
          <w:lang w:eastAsia="hr-HR"/>
        </w:rPr>
        <w:t>kršenj</w:t>
      </w:r>
      <w:r w:rsidRPr="00A60E1A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D0103E"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 propisa</w:t>
      </w:r>
      <w:r w:rsidR="00192A1E" w:rsidRPr="00A60E1A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F62664"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195A85FC" w14:textId="6617D3DC" w:rsidR="00F62664" w:rsidRPr="00A60E1A" w:rsidRDefault="00D0103E" w:rsidP="00795DD3">
      <w:pPr>
        <w:numPr>
          <w:ilvl w:val="0"/>
          <w:numId w:val="4"/>
        </w:numPr>
        <w:spacing w:before="0" w:after="0"/>
        <w:ind w:left="567"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financijske posljedice na proračun iz kojeg se financira ugovor o dodjeli </w:t>
      </w:r>
      <w:r w:rsidR="00F62664" w:rsidRPr="00A60E1A">
        <w:rPr>
          <w:rFonts w:ascii="Times New Roman" w:hAnsi="Times New Roman" w:cs="Times New Roman"/>
          <w:sz w:val="24"/>
          <w:szCs w:val="24"/>
          <w:lang w:eastAsia="hr-HR"/>
        </w:rPr>
        <w:t>posebnih</w:t>
      </w:r>
      <w:r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 sredstava</w:t>
      </w:r>
      <w:r w:rsidR="00192A1E" w:rsidRPr="00A60E1A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F62664"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6742969C" w14:textId="77777777" w:rsidR="00F62664" w:rsidRPr="00A60E1A" w:rsidRDefault="00D0103E" w:rsidP="00795DD3">
      <w:pPr>
        <w:numPr>
          <w:ilvl w:val="0"/>
          <w:numId w:val="4"/>
        </w:numPr>
        <w:spacing w:before="0" w:after="0"/>
        <w:ind w:left="567"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hAnsi="Times New Roman" w:cs="Times New Roman"/>
          <w:sz w:val="24"/>
          <w:szCs w:val="24"/>
          <w:lang w:eastAsia="hr-HR"/>
        </w:rPr>
        <w:t>razina tržišnog natjecanja</w:t>
      </w:r>
      <w:r w:rsidR="00192A1E" w:rsidRPr="00A60E1A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F62664"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06F1B392" w14:textId="77777777" w:rsidR="00F62664" w:rsidRPr="00A60E1A" w:rsidRDefault="00D0103E" w:rsidP="00795DD3">
      <w:pPr>
        <w:numPr>
          <w:ilvl w:val="0"/>
          <w:numId w:val="4"/>
        </w:numPr>
        <w:spacing w:before="0" w:after="0"/>
        <w:ind w:left="567"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hAnsi="Times New Roman" w:cs="Times New Roman"/>
          <w:sz w:val="24"/>
          <w:szCs w:val="24"/>
          <w:lang w:eastAsia="hr-HR"/>
        </w:rPr>
        <w:t>odvraćajući učinak na potencijalne ponuditelje u postupcima</w:t>
      </w:r>
      <w:r w:rsidR="008905B5"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 (javnih)</w:t>
      </w:r>
      <w:r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 nabav</w:t>
      </w:r>
      <w:r w:rsidR="009D7284" w:rsidRPr="00A60E1A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192A1E" w:rsidRPr="00A60E1A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F62664"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70C2921D" w14:textId="77777777" w:rsidR="00F62664" w:rsidRPr="00A60E1A" w:rsidRDefault="00D0103E" w:rsidP="00795DD3">
      <w:pPr>
        <w:numPr>
          <w:ilvl w:val="0"/>
          <w:numId w:val="4"/>
        </w:numPr>
        <w:spacing w:before="0" w:after="0"/>
        <w:ind w:left="567"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je li posljedica utvrđene nepravilnosti u postupcima </w:t>
      </w:r>
      <w:r w:rsidR="008905B5"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(javne) </w:t>
      </w:r>
      <w:r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nabave sklapanje pravnog posla s ponuditeljem, s kojim pravni posao </w:t>
      </w:r>
      <w:r w:rsidR="009D7284"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inače </w:t>
      </w:r>
      <w:r w:rsidRPr="00A60E1A">
        <w:rPr>
          <w:rFonts w:ascii="Times New Roman" w:hAnsi="Times New Roman" w:cs="Times New Roman"/>
          <w:sz w:val="24"/>
          <w:szCs w:val="24"/>
          <w:lang w:eastAsia="hr-HR"/>
        </w:rPr>
        <w:t>ne bi bio sklopljen,</w:t>
      </w:r>
      <w:r w:rsidR="00F62664"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0D8F97A5" w14:textId="1DDA764C" w:rsidR="00F62664" w:rsidRPr="00A60E1A" w:rsidRDefault="00D0103E" w:rsidP="00795DD3">
      <w:pPr>
        <w:numPr>
          <w:ilvl w:val="0"/>
          <w:numId w:val="4"/>
        </w:numPr>
        <w:spacing w:before="0" w:after="0"/>
        <w:ind w:left="567"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posljedice nepravilnosti tj. činjenica bi li ishod </w:t>
      </w:r>
      <w:r w:rsidR="002E0148">
        <w:rPr>
          <w:rFonts w:ascii="Times New Roman" w:hAnsi="Times New Roman" w:cs="Times New Roman"/>
          <w:sz w:val="24"/>
          <w:szCs w:val="24"/>
          <w:lang w:eastAsia="hr-HR"/>
        </w:rPr>
        <w:t>projekta</w:t>
      </w:r>
      <w:r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 bio isti da nepravilnosti nije bilo</w:t>
      </w:r>
      <w:r w:rsidR="00192A1E" w:rsidRPr="00A60E1A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F62664"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07E87762" w14:textId="77777777" w:rsidR="00F62664" w:rsidRPr="00A60E1A" w:rsidRDefault="00D0103E" w:rsidP="00795DD3">
      <w:pPr>
        <w:numPr>
          <w:ilvl w:val="0"/>
          <w:numId w:val="4"/>
        </w:numPr>
        <w:spacing w:before="0" w:after="0"/>
        <w:ind w:left="567"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hAnsi="Times New Roman" w:cs="Times New Roman"/>
          <w:sz w:val="24"/>
          <w:szCs w:val="24"/>
          <w:lang w:eastAsia="hr-HR"/>
        </w:rPr>
        <w:t>ponavljanje nepravilnosti u odnosu na istog korisnika</w:t>
      </w:r>
      <w:r w:rsidR="00A63DBC" w:rsidRPr="00A60E1A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F62664"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31173BB1" w14:textId="7B79638A" w:rsidR="00D0103E" w:rsidRPr="00A60E1A" w:rsidRDefault="00D0103E" w:rsidP="00795DD3">
      <w:pPr>
        <w:numPr>
          <w:ilvl w:val="0"/>
          <w:numId w:val="4"/>
        </w:numPr>
        <w:spacing w:before="0" w:after="0"/>
        <w:ind w:left="567"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ostale okolnosti konkretnog slučaja, od utjecaja na cjelokupni postupak dodjele </w:t>
      </w:r>
      <w:r w:rsidR="00C8663E" w:rsidRPr="00A60E1A">
        <w:rPr>
          <w:rFonts w:ascii="Times New Roman" w:hAnsi="Times New Roman" w:cs="Times New Roman"/>
          <w:sz w:val="24"/>
          <w:szCs w:val="24"/>
          <w:lang w:eastAsia="hr-HR"/>
        </w:rPr>
        <w:t>posebnih</w:t>
      </w:r>
      <w:r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 sredstava i postupak izvršavanja ugovornih obveza, koje nadležno </w:t>
      </w:r>
      <w:r w:rsidR="00C8663E" w:rsidRPr="00A60E1A">
        <w:rPr>
          <w:rFonts w:ascii="Times New Roman" w:hAnsi="Times New Roman" w:cs="Times New Roman"/>
          <w:sz w:val="24"/>
          <w:szCs w:val="24"/>
          <w:lang w:eastAsia="hr-HR"/>
        </w:rPr>
        <w:t xml:space="preserve">tijelo </w:t>
      </w:r>
      <w:r w:rsidRPr="00A60E1A">
        <w:rPr>
          <w:rFonts w:ascii="Times New Roman" w:hAnsi="Times New Roman" w:cs="Times New Roman"/>
          <w:sz w:val="24"/>
          <w:szCs w:val="24"/>
          <w:lang w:eastAsia="hr-HR"/>
        </w:rPr>
        <w:t>utvrđuje i obrazlaže.</w:t>
      </w:r>
    </w:p>
    <w:p w14:paraId="6359B3DD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5618D4" w14:textId="4E0C6E8E" w:rsidR="00D0103E" w:rsidRPr="00A60E1A" w:rsidRDefault="00D83842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20D58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Kao osnovica za izračun nepravilnosti uzima se </w:t>
      </w:r>
      <w:r w:rsidR="00510AB6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iznos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sredstava iz ugovora o dodjeli </w:t>
      </w:r>
      <w:r w:rsidR="002E1168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posebnih 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sredstava dodijeljenih </w:t>
      </w:r>
      <w:r w:rsidR="002E1168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2E0148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vezano uz radnju ili propust u odnosu na koju je nepravilnost utvrđena. Ako se nepravilnost odnosi na provedeni postupak </w:t>
      </w:r>
      <w:r w:rsidR="008905B5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(javne) 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nabave, </w:t>
      </w:r>
      <w:r w:rsidR="00E011F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iznos/stopa 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 korekcije</w:t>
      </w:r>
      <w:r w:rsidR="00E011F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izračunava se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011F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ugovoren</w:t>
      </w:r>
      <w:r w:rsidR="00E011F4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</w:t>
      </w:r>
      <w:r w:rsidR="00425326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905B5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(javne) </w:t>
      </w:r>
      <w:r w:rsidR="00425326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90333F1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EC5D7F" w14:textId="0E89C076" w:rsidR="00D0103E" w:rsidRPr="00A60E1A" w:rsidRDefault="00D83842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20D58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Financijska korekcija se </w:t>
      </w:r>
      <w:r w:rsidR="007E48AA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primjenjuje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iznos </w:t>
      </w:r>
      <w:r w:rsidR="0089336D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(odobrenih) 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prihvatljivih troškova </w:t>
      </w:r>
      <w:r w:rsidR="002E0148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projekta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B7C77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sufinancira nadležno tijelo (ne primjenjuje se na iznose 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</w:t>
      </w:r>
      <w:r w:rsidR="000B7C77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redstavljaju korisnikovo sufinanciranje</w:t>
      </w:r>
      <w:r w:rsidR="00F201A0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sufinanciranje iz drugih javnih izvora </w:t>
      </w:r>
      <w:r w:rsidR="002E1168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financiranja</w:t>
      </w:r>
      <w:r w:rsidR="00F201A0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0103E" w:rsidRPr="00A60E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8CBACC6" w14:textId="77777777" w:rsidR="00D0103E" w:rsidRPr="00A60E1A" w:rsidRDefault="00D0103E" w:rsidP="00D0103E">
      <w:pPr>
        <w:spacing w:before="0" w:after="0"/>
        <w:ind w:left="2124"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49FC7FA" w14:textId="77777777" w:rsidR="003F26C6" w:rsidRPr="00A60E1A" w:rsidRDefault="003F26C6" w:rsidP="008905B5">
      <w:pPr>
        <w:spacing w:before="0" w:after="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C780B0" w14:textId="5A11BE15" w:rsidR="003F26C6" w:rsidRPr="004A5760" w:rsidRDefault="003F26C6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5B61A4C" w14:textId="661BBA50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0C76DB2" w14:textId="0DC82F51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3CBEE3F" w14:textId="517FCD17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EEBBBE8" w14:textId="249470E0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DBB00B0" w14:textId="3A164C6F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47F18C4" w14:textId="1AE5D3E6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DFED6F9" w14:textId="348A060B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E16A9F1" w14:textId="36824324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E568595" w14:textId="184F863D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DDD9539" w14:textId="78B274FC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13EDA1C" w14:textId="13425A0A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384DA77" w14:textId="4ABE0735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7275F62" w14:textId="3C83185B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C4A2850" w14:textId="13F942F5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C8A65D4" w14:textId="44715207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A64B27B" w14:textId="141FEDA8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7ECF8C2" w14:textId="49100331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6574B0B" w14:textId="5DE6891C" w:rsidR="00275517" w:rsidRPr="004A5760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4CEDA27" w14:textId="77777777" w:rsidR="00F84D6B" w:rsidRPr="004A5760" w:rsidRDefault="00F84D6B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E93DDA4" w14:textId="77777777" w:rsidR="00F84D6B" w:rsidRPr="004A5760" w:rsidRDefault="00F84D6B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026E623" w14:textId="1F57CD4B" w:rsidR="00275517" w:rsidRDefault="00275517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B034CE5" w14:textId="77777777" w:rsidR="0043555C" w:rsidRDefault="0043555C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8A9BD70" w14:textId="77777777" w:rsidR="0043555C" w:rsidRDefault="0043555C" w:rsidP="008905B5">
      <w:pPr>
        <w:spacing w:before="0" w:after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BBD1619" w14:textId="77777777" w:rsidR="00D33D35" w:rsidRDefault="00D33D35" w:rsidP="00D0103E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A7005D" w14:textId="528B5A72" w:rsidR="00D0103E" w:rsidRPr="00A60E1A" w:rsidRDefault="000B7C77" w:rsidP="00D0103E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Prilog 1</w:t>
      </w:r>
    </w:p>
    <w:p w14:paraId="442E43CF" w14:textId="77777777" w:rsidR="00D0103E" w:rsidRPr="00A60E1A" w:rsidRDefault="00D0103E" w:rsidP="00D0103E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0E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Nepravilnosti u kojima se određuje financijska </w:t>
      </w:r>
      <w:r w:rsidR="008905B5" w:rsidRPr="00A60E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korekcija</w:t>
      </w:r>
      <w:r w:rsidR="00575BF4" w:rsidRPr="00A60E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obveznici Zakona o javnoj nabavi</w:t>
      </w:r>
      <w:r w:rsidR="00C4593D" w:rsidRPr="00A60E1A">
        <w:rPr>
          <w:rStyle w:val="Referencafusnote"/>
          <w:rFonts w:ascii="Times New Roman" w:eastAsia="Times New Roman" w:hAnsi="Times New Roman" w:cs="Times New Roman"/>
          <w:b/>
          <w:sz w:val="24"/>
          <w:szCs w:val="24"/>
          <w:lang w:eastAsia="hr-HR"/>
        </w:rPr>
        <w:footnoteReference w:id="2"/>
      </w:r>
    </w:p>
    <w:p w14:paraId="289D1DEC" w14:textId="77777777" w:rsidR="00D0103E" w:rsidRPr="00A60E1A" w:rsidRDefault="00D0103E" w:rsidP="00D0103E">
      <w:pPr>
        <w:spacing w:before="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2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86"/>
        <w:gridCol w:w="4032"/>
        <w:gridCol w:w="1907"/>
      </w:tblGrid>
      <w:tr w:rsidR="004A5760" w:rsidRPr="004A5760" w14:paraId="50126974" w14:textId="77777777" w:rsidTr="00A8245B">
        <w:trPr>
          <w:trHeight w:val="877"/>
          <w:tblHeader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9F15" w14:textId="428818C9" w:rsidR="00D0103E" w:rsidRPr="004E1F42" w:rsidRDefault="00B505DD" w:rsidP="007F3C85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1F42">
              <w:rPr>
                <w:rFonts w:ascii="Times New Roman" w:eastAsia="Calibri" w:hAnsi="Times New Roman" w:cs="Times New Roman"/>
                <w:b/>
              </w:rPr>
              <w:t>R. B</w:t>
            </w:r>
            <w:r w:rsidR="00D0103E" w:rsidRPr="004E1F42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B2E3" w14:textId="77777777" w:rsidR="00D0103E" w:rsidRPr="004E1F42" w:rsidRDefault="00D0103E" w:rsidP="007F3C85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1F42">
              <w:rPr>
                <w:rFonts w:ascii="Times New Roman" w:eastAsia="Calibri" w:hAnsi="Times New Roman" w:cs="Times New Roman"/>
                <w:b/>
              </w:rPr>
              <w:t>Nepravilnost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CBD5" w14:textId="5950CFDC" w:rsidR="00D0103E" w:rsidRPr="004E1F42" w:rsidRDefault="00D0103E" w:rsidP="00A8245B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1F42">
              <w:rPr>
                <w:rFonts w:ascii="Times New Roman" w:eastAsia="Calibri" w:hAnsi="Times New Roman" w:cs="Times New Roman"/>
                <w:b/>
              </w:rPr>
              <w:t>Opis / Primjeri</w:t>
            </w:r>
            <w:r w:rsidR="00585426" w:rsidRPr="004E1F42">
              <w:rPr>
                <w:rFonts w:ascii="Times New Roman" w:eastAsia="Calibri" w:hAnsi="Times New Roman" w:cs="Times New Roman"/>
                <w:b/>
              </w:rPr>
              <w:t xml:space="preserve"> (ne predstavljaju zatvoren broj, već služe isključivo kao najučestaliji primjeri i orijentiri za procjenu sličnih nepravilnosti)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9DC5" w14:textId="77777777" w:rsidR="00D0103E" w:rsidRPr="004E1F42" w:rsidRDefault="00D0103E" w:rsidP="007F3C85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1F42">
              <w:rPr>
                <w:rFonts w:ascii="Times New Roman" w:eastAsia="Calibri" w:hAnsi="Times New Roman" w:cs="Times New Roman"/>
                <w:b/>
              </w:rPr>
              <w:t>Financijska korekcija</w:t>
            </w:r>
          </w:p>
        </w:tc>
      </w:tr>
      <w:tr w:rsidR="004A5760" w:rsidRPr="004A5760" w14:paraId="4EEA8CC4" w14:textId="77777777" w:rsidTr="003B5B24">
        <w:trPr>
          <w:trHeight w:val="791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6DA4" w14:textId="16D9FDFD" w:rsidR="00A8245B" w:rsidRPr="004E1F42" w:rsidRDefault="00A8245B" w:rsidP="00A824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7C46" w14:textId="77777777" w:rsidR="00A8245B" w:rsidRPr="004E1F42" w:rsidRDefault="00A8245B" w:rsidP="00A8245B">
            <w:pPr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 xml:space="preserve">Sukob interesa </w:t>
            </w:r>
          </w:p>
          <w:p w14:paraId="40CF1900" w14:textId="6D7A1ECA" w:rsidR="00A8245B" w:rsidRPr="004E1F42" w:rsidRDefault="00A8245B" w:rsidP="00A8245B">
            <w:pPr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 xml:space="preserve">(u bilo kojoj od faza  javne </w:t>
            </w:r>
            <w:r w:rsidR="007F59D8" w:rsidRPr="004E1F42">
              <w:rPr>
                <w:rFonts w:ascii="Times New Roman" w:eastAsia="Calibri" w:hAnsi="Times New Roman" w:cs="Times New Roman"/>
              </w:rPr>
              <w:t>nabave)</w:t>
            </w:r>
            <w:r w:rsidRPr="004E1F4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E88B" w14:textId="6E70A39D" w:rsidR="00A8245B" w:rsidRPr="004E1F42" w:rsidRDefault="007F59D8" w:rsidP="00A8245B">
            <w:pPr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R</w:t>
            </w:r>
            <w:r w:rsidR="00A8245B" w:rsidRPr="004E1F42">
              <w:rPr>
                <w:rFonts w:ascii="Times New Roman" w:eastAsia="Calibri" w:hAnsi="Times New Roman" w:cs="Times New Roman"/>
              </w:rPr>
              <w:t>elevantne su odredbe pravila kojima se uređuje pitanje javne nabave (Zakon o javnoj nabavi)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0FDE" w14:textId="0C431E2A" w:rsidR="00A8245B" w:rsidRPr="004E1F42" w:rsidRDefault="00A8245B" w:rsidP="00A8245B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100% od ugovorenog iznosa (nema smanjenja)</w:t>
            </w:r>
          </w:p>
        </w:tc>
      </w:tr>
      <w:tr w:rsidR="004A5760" w:rsidRPr="004A5760" w14:paraId="1439E4D2" w14:textId="77777777" w:rsidTr="003B5B24">
        <w:trPr>
          <w:trHeight w:val="74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223B" w14:textId="77777777" w:rsidR="00D0103E" w:rsidRPr="004E1F42" w:rsidRDefault="00D0103E" w:rsidP="006E359C">
            <w:pPr>
              <w:spacing w:before="0" w:after="0"/>
              <w:jc w:val="center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01E8" w14:textId="77777777" w:rsidR="00D0103E" w:rsidRPr="004E1F42" w:rsidRDefault="009947C6" w:rsidP="00A8245B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Prijevara</w:t>
            </w:r>
          </w:p>
          <w:p w14:paraId="72E96080" w14:textId="41136E4D" w:rsidR="00D0103E" w:rsidRPr="004E1F42" w:rsidRDefault="00D0103E" w:rsidP="003B5B24">
            <w:pPr>
              <w:spacing w:before="0" w:after="0"/>
              <w:rPr>
                <w:rFonts w:ascii="Times New Roman" w:eastAsia="Calibri" w:hAnsi="Times New Roman" w:cs="Times New Roman"/>
                <w:i/>
              </w:rPr>
            </w:pPr>
            <w:r w:rsidRPr="004E1F42">
              <w:rPr>
                <w:rFonts w:ascii="Times New Roman" w:eastAsia="Calibri" w:hAnsi="Times New Roman" w:cs="Times New Roman"/>
              </w:rPr>
              <w:t xml:space="preserve">(u bilo kojoj od faza </w:t>
            </w:r>
            <w:r w:rsidR="00EE6395" w:rsidRPr="004E1F42">
              <w:rPr>
                <w:rFonts w:ascii="Times New Roman" w:eastAsia="Calibri" w:hAnsi="Times New Roman" w:cs="Times New Roman"/>
              </w:rPr>
              <w:t xml:space="preserve">javne </w:t>
            </w:r>
            <w:r w:rsidRPr="004E1F42">
              <w:rPr>
                <w:rFonts w:ascii="Times New Roman" w:eastAsia="Calibri" w:hAnsi="Times New Roman" w:cs="Times New Roman"/>
              </w:rPr>
              <w:t>nabave)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83CC" w14:textId="4A62884A" w:rsidR="00D0103E" w:rsidRPr="004E1F42" w:rsidRDefault="009947C6" w:rsidP="003B5B24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Prijevara je utvrđena na temelju pravomoćne odluke nadležnog pravosudnog tijela</w:t>
            </w:r>
            <w:r w:rsidR="00D124F8" w:rsidRPr="004E1F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E9CC" w14:textId="005AD908" w:rsidR="00D0103E" w:rsidRPr="004E1F42" w:rsidRDefault="00D0103E" w:rsidP="00A8245B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100% od ugovorenog iznosa (nema smanjenja)</w:t>
            </w:r>
          </w:p>
        </w:tc>
      </w:tr>
      <w:tr w:rsidR="004A5760" w:rsidRPr="004A5760" w14:paraId="70BB37FB" w14:textId="77777777" w:rsidTr="003B5B24">
        <w:trPr>
          <w:trHeight w:val="74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1A0F" w14:textId="711AD256" w:rsidR="00804FF2" w:rsidRPr="004E1F42" w:rsidRDefault="00804FF2" w:rsidP="00804FF2">
            <w:pPr>
              <w:spacing w:before="0" w:after="0"/>
              <w:jc w:val="center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9ADF" w14:textId="6843BC54" w:rsidR="00804FF2" w:rsidRPr="004E1F42" w:rsidRDefault="00804FF2" w:rsidP="00804FF2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Izostanak objave poziva na nadmetanje odnosno neprovođenje postupka javne nabave sukladno Zakonu o javnoj nabavi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4CBC" w14:textId="099CCF51" w:rsidR="00804FF2" w:rsidRPr="004E1F42" w:rsidRDefault="00804FF2" w:rsidP="00804FF2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Poziv na nadmetanje nije objavljen u skladu s primjenjivim pravilima Zakona o javnoj nabavi odnosno postupak javne nabave nije proveden u skladu sa Zakonom o javnoj nabavi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752D" w14:textId="17385C90" w:rsidR="00804FF2" w:rsidRPr="004E1F42" w:rsidRDefault="00804FF2" w:rsidP="00804FF2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100% od ugovorenog iznosa (nema smanjenja)</w:t>
            </w:r>
          </w:p>
        </w:tc>
      </w:tr>
      <w:tr w:rsidR="004A5760" w:rsidRPr="004A5760" w14:paraId="5935642D" w14:textId="77777777" w:rsidTr="00795DD3">
        <w:trPr>
          <w:trHeight w:val="303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2B07" w14:textId="6730A65B" w:rsidR="00320B4A" w:rsidRPr="004E1F42" w:rsidRDefault="00320B4A" w:rsidP="00A8245B">
            <w:pPr>
              <w:spacing w:before="0" w:after="0"/>
              <w:jc w:val="center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99C4" w14:textId="77777777" w:rsidR="00320B4A" w:rsidRPr="004E1F42" w:rsidRDefault="00320B4A" w:rsidP="003B5B2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Umjetna podjela ugovora o javnoj nabavi</w:t>
            </w:r>
          </w:p>
          <w:p w14:paraId="09AD02F4" w14:textId="4320E101" w:rsidR="00320B4A" w:rsidRPr="004E1F42" w:rsidRDefault="00320B4A" w:rsidP="003B5B2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(nabava usluga, robe ili radova, umjetno je podijeljena, čime se izbjegava objava poziva na nadmetanje u skladu s primjenjivim pravilima  te se na taj način konkurentniji postupak zamjenjuje s manje konkurentnim postupkom javne nabave</w:t>
            </w:r>
            <w:r w:rsidR="00A60E1A" w:rsidRPr="004E1F42">
              <w:rPr>
                <w:rFonts w:ascii="Times New Roman" w:eastAsia="Calibri" w:hAnsi="Times New Roman" w:cs="Times New Roman"/>
              </w:rPr>
              <w:t>)</w:t>
            </w:r>
            <w:r w:rsidRPr="004E1F4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11BBC" w14:textId="15A81A23" w:rsidR="00320B4A" w:rsidRPr="004E1F42" w:rsidRDefault="00320B4A" w:rsidP="003B5B2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Umjetna podjela javne nabave je rezultirala situacijom u kojoj poziv na nadmetanje nije objavljen u skladu s primjenjivim pravilima Zakona o javnoj nabavi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1D7AF" w14:textId="77777777" w:rsidR="00320B4A" w:rsidRPr="004E1F42" w:rsidRDefault="00320B4A" w:rsidP="003B5B24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 xml:space="preserve">100% </w:t>
            </w:r>
          </w:p>
          <w:p w14:paraId="523C2CFD" w14:textId="77777777" w:rsidR="00320B4A" w:rsidRPr="004E1F42" w:rsidRDefault="00320B4A" w:rsidP="003B5B24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(agregirano)</w:t>
            </w:r>
            <w:r w:rsidRPr="004E1F42">
              <w:rPr>
                <w:rStyle w:val="Referencafusnote"/>
                <w:rFonts w:ascii="Times New Roman" w:eastAsia="Calibri" w:hAnsi="Times New Roman" w:cs="Times New Roman"/>
              </w:rPr>
              <w:footnoteReference w:id="3"/>
            </w:r>
          </w:p>
          <w:p w14:paraId="6996CCA2" w14:textId="410BE59A" w:rsidR="00320B4A" w:rsidRPr="004E1F42" w:rsidRDefault="00320B4A" w:rsidP="00320B4A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od ugovorenog iznosa (nema smanjenja)</w:t>
            </w:r>
          </w:p>
        </w:tc>
      </w:tr>
      <w:tr w:rsidR="004A5760" w:rsidRPr="004A5760" w14:paraId="14708969" w14:textId="77777777" w:rsidTr="00A8245B">
        <w:trPr>
          <w:trHeight w:val="1052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35CB" w14:textId="77777777" w:rsidR="00D0103E" w:rsidRPr="004E1F42" w:rsidRDefault="00B9128D" w:rsidP="007D52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5</w:t>
            </w:r>
            <w:r w:rsidR="00D0103E" w:rsidRPr="004E1F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8B4E" w14:textId="77777777" w:rsidR="00D0103E" w:rsidRPr="004E1F42" w:rsidRDefault="00D0103E" w:rsidP="00320B4A">
            <w:pPr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Slučajevi koji ne opravdavaju korištenje natjecateljskog postupka uz pregov</w:t>
            </w:r>
            <w:r w:rsidR="0072135B" w:rsidRPr="004E1F42">
              <w:rPr>
                <w:rFonts w:ascii="Times New Roman" w:eastAsia="Calibri" w:hAnsi="Times New Roman" w:cs="Times New Roman"/>
              </w:rPr>
              <w:t>ore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1203" w14:textId="77777777" w:rsidR="00D0103E" w:rsidRPr="004E1F42" w:rsidRDefault="00D0103E" w:rsidP="00320B4A">
            <w:pPr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 xml:space="preserve">Naručitelji su izabrali ponuditelja primjenjujući </w:t>
            </w:r>
            <w:r w:rsidR="00C765AE" w:rsidRPr="004E1F42">
              <w:rPr>
                <w:rFonts w:ascii="Times New Roman" w:eastAsia="Calibri" w:hAnsi="Times New Roman" w:cs="Times New Roman"/>
              </w:rPr>
              <w:t>natjecateljski postupak uz pregovore</w:t>
            </w:r>
            <w:r w:rsidRPr="004E1F42">
              <w:rPr>
                <w:rFonts w:ascii="Times New Roman" w:eastAsia="Calibri" w:hAnsi="Times New Roman" w:cs="Times New Roman"/>
              </w:rPr>
              <w:t xml:space="preserve">, </w:t>
            </w:r>
            <w:r w:rsidR="00EC758B" w:rsidRPr="004E1F42">
              <w:rPr>
                <w:rFonts w:ascii="Times New Roman" w:eastAsia="Calibri" w:hAnsi="Times New Roman" w:cs="Times New Roman"/>
              </w:rPr>
              <w:t xml:space="preserve">a takav postupak nije sukladan primjenjivim pravilima o javnoj nabavi 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05C2" w14:textId="77777777" w:rsidR="00D0103E" w:rsidRPr="004E1F42" w:rsidRDefault="00D0103E" w:rsidP="003B5B24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25% od ugovorenog iznosa uz</w:t>
            </w:r>
          </w:p>
          <w:p w14:paraId="028DC94F" w14:textId="77777777" w:rsidR="00D0103E" w:rsidRPr="004E1F42" w:rsidRDefault="00D0103E" w:rsidP="003B5B24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mogućnost umanjenja na 10% ili 5% ovisno o ozbiljnosti nepravilnosti</w:t>
            </w:r>
          </w:p>
        </w:tc>
      </w:tr>
      <w:tr w:rsidR="004A5760" w:rsidRPr="004A5760" w14:paraId="5E0D9C1E" w14:textId="77777777" w:rsidTr="00A8245B">
        <w:trPr>
          <w:trHeight w:val="1052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2CFB" w14:textId="77777777" w:rsidR="00D0103E" w:rsidRPr="004E1F42" w:rsidRDefault="00B9128D" w:rsidP="007D52F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6</w:t>
            </w:r>
            <w:r w:rsidR="00D0103E" w:rsidRPr="004E1F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6DA2" w14:textId="77777777" w:rsidR="00D0103E" w:rsidRPr="004E1F42" w:rsidRDefault="00D0103E" w:rsidP="00320B4A">
            <w:pPr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Slučajevi koji ne opravdavaju uporabu pregovaračkog postupka bez prethodne objave poziva na nadmetanje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882A" w14:textId="77777777" w:rsidR="00D0103E" w:rsidRPr="004E1F42" w:rsidRDefault="00D0103E" w:rsidP="003B5B24">
            <w:pPr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Naručitelji su izabrali ponuditelja primjenjujući pregovarački postupak</w:t>
            </w:r>
            <w:r w:rsidR="00F55C5E" w:rsidRPr="004E1F42">
              <w:rPr>
                <w:rFonts w:ascii="Times New Roman" w:eastAsia="Calibri" w:hAnsi="Times New Roman" w:cs="Times New Roman"/>
              </w:rPr>
              <w:t xml:space="preserve"> </w:t>
            </w:r>
            <w:r w:rsidRPr="004E1F42">
              <w:rPr>
                <w:rFonts w:ascii="Times New Roman" w:eastAsia="Calibri" w:hAnsi="Times New Roman" w:cs="Times New Roman"/>
              </w:rPr>
              <w:t xml:space="preserve">bez prethodne objave poziva </w:t>
            </w:r>
            <w:r w:rsidR="001D5FA0" w:rsidRPr="004E1F42">
              <w:rPr>
                <w:rFonts w:ascii="Times New Roman" w:eastAsia="Calibri" w:hAnsi="Times New Roman" w:cs="Times New Roman"/>
              </w:rPr>
              <w:t>na nadmetanje</w:t>
            </w:r>
            <w:r w:rsidRPr="004E1F42">
              <w:rPr>
                <w:rFonts w:ascii="Times New Roman" w:eastAsia="Calibri" w:hAnsi="Times New Roman" w:cs="Times New Roman"/>
              </w:rPr>
              <w:t xml:space="preserve">, a </w:t>
            </w:r>
            <w:r w:rsidR="000C6786" w:rsidRPr="004E1F42">
              <w:rPr>
                <w:rFonts w:ascii="Times New Roman" w:eastAsia="Calibri" w:hAnsi="Times New Roman" w:cs="Times New Roman"/>
              </w:rPr>
              <w:t>takav postupak nije sukladan primjenjivim pravilima o javnoj nabavi</w:t>
            </w:r>
            <w:r w:rsidRPr="004E1F42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8276" w14:textId="77777777" w:rsidR="00D0103E" w:rsidRPr="004E1F42" w:rsidRDefault="00D0103E" w:rsidP="003B5B24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100% od ugovorenog iznosa</w:t>
            </w:r>
          </w:p>
        </w:tc>
      </w:tr>
      <w:tr w:rsidR="004A5760" w:rsidRPr="004A5760" w14:paraId="304A174F" w14:textId="77777777" w:rsidTr="00A8245B">
        <w:trPr>
          <w:trHeight w:val="1052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1480" w14:textId="7E366FBD" w:rsidR="00804FF2" w:rsidRPr="004E1F42" w:rsidRDefault="00804FF2" w:rsidP="00804F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36EA" w14:textId="096998C1" w:rsidR="00804FF2" w:rsidRPr="004E1F42" w:rsidRDefault="00804FF2" w:rsidP="00804FF2">
            <w:pPr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 xml:space="preserve">Diskriminirajuće tehničke specifikacije 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D797" w14:textId="77777777" w:rsidR="00804FF2" w:rsidRPr="004E1F42" w:rsidRDefault="00804FF2" w:rsidP="00804FF2">
            <w:pPr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Određivanje tehničkih specifikacija koji su specifični zbog čega se ne osigurava jednak pristup ponuditeljima ili imaju učinak stvaranja neopravdanih prepreka za tržišno natjecanje, npr.:</w:t>
            </w:r>
          </w:p>
          <w:p w14:paraId="67FC8D86" w14:textId="77777777" w:rsidR="00804FF2" w:rsidRPr="004E1F42" w:rsidRDefault="00804FF2" w:rsidP="00804F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tehničke specifikacije sadrže naziv robne marke, bez naznaka „ili jednakovrijedno“ ;</w:t>
            </w:r>
          </w:p>
          <w:p w14:paraId="5ECE4D6E" w14:textId="77777777" w:rsidR="00804FF2" w:rsidRPr="004E1F42" w:rsidRDefault="00804FF2" w:rsidP="00804F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lastRenderedPageBreak/>
              <w:t>tehničke specifikacije ne sadrže naziv robne marke, ali sadrže tehničke i funkcionalne zahtjeve koji su definirani na način da samo određena robna marka iste može ispuniti;</w:t>
            </w:r>
          </w:p>
          <w:p w14:paraId="2B7D698D" w14:textId="77777777" w:rsidR="00804FF2" w:rsidRPr="004E1F42" w:rsidRDefault="00804FF2" w:rsidP="00804F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tehničke specifikacije ne uključuju kriterij pristupačnosti osobama s invaliditetom (ako je primjenjivo u specifičnim postupcima  javne nabave);</w:t>
            </w:r>
          </w:p>
          <w:p w14:paraId="054711FB" w14:textId="77777777" w:rsidR="00804FF2" w:rsidRPr="004E1F42" w:rsidRDefault="00804FF2" w:rsidP="00804F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dokumentacija o nabavi sadrži zahtjev da u trenutku predaje ponude, ponuditelj mora imati potpisan ugovor s trećim stranama o izvršenju pojedinih zadataka u okviru potencijalnog ugovora (potvrde/izjave bi trebale biti dovoljne);</w:t>
            </w:r>
          </w:p>
          <w:p w14:paraId="332B5C44" w14:textId="12896FCD" w:rsidR="00804FF2" w:rsidRPr="004E1F42" w:rsidRDefault="00804FF2" w:rsidP="00804FF2">
            <w:pPr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Navođenje normi i njihovo određivanje u dokumentaciji o nabavi bez oznake „ili jednakovrijedno“ odnosno nenavođenje da će se osim zahtijevanih normi, prihvatiti i druge jednakovrijedne mjere osiguranja kvalitete (npr. ako naručitelj zahtijeva prilaganje potvrda neovisnih tijela kojima se potvrđuje sukladnost gospodarskog subjekta s određenim normama osiguranja kvalitete, uključujući pristupačnost za osobe s invaliditetom, obvezan je uputiti na sustave osiguranja kvalitete koji se temelje na odgovarajućim serijama europskih normi koje su potvrdila akreditirana tijela, a naručitelj mora priznati jednakovrijedne potvrde tijela osnovanih u drugim državama članicama te mora prihvatiti dokaze o jednakovrijednim mjerama osiguranja kvalitete).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C5FE" w14:textId="77777777" w:rsidR="00804FF2" w:rsidRPr="004E1F42" w:rsidRDefault="00804FF2" w:rsidP="00804FF2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lastRenderedPageBreak/>
              <w:t xml:space="preserve">25% od ugovorenog iznosa </w:t>
            </w:r>
          </w:p>
          <w:p w14:paraId="42C275CB" w14:textId="77777777" w:rsidR="00804FF2" w:rsidRPr="004E1F42" w:rsidRDefault="00804FF2" w:rsidP="00804FF2">
            <w:pPr>
              <w:spacing w:before="0" w:after="0"/>
              <w:rPr>
                <w:rFonts w:ascii="Times New Roman" w:eastAsia="Calibri" w:hAnsi="Times New Roman" w:cs="Times New Roman"/>
              </w:rPr>
            </w:pPr>
          </w:p>
          <w:p w14:paraId="392DC264" w14:textId="77777777" w:rsidR="00804FF2" w:rsidRPr="004E1F42" w:rsidRDefault="00804FF2" w:rsidP="00804FF2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Korekcija se može umanjiti na 10% ili 5% ovisno o ozbiljnosti nepravilnosti</w:t>
            </w:r>
          </w:p>
          <w:p w14:paraId="2B874168" w14:textId="77777777" w:rsidR="00804FF2" w:rsidRPr="004E1F42" w:rsidRDefault="00804FF2" w:rsidP="00804FF2">
            <w:pPr>
              <w:spacing w:before="0" w:after="0"/>
              <w:rPr>
                <w:rFonts w:ascii="Times New Roman" w:eastAsia="Calibri" w:hAnsi="Times New Roman" w:cs="Times New Roman"/>
              </w:rPr>
            </w:pPr>
          </w:p>
          <w:p w14:paraId="217F6B74" w14:textId="7EE50CC4" w:rsidR="00804FF2" w:rsidRPr="004E1F42" w:rsidRDefault="00804FF2" w:rsidP="00804FF2">
            <w:pPr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Napomena: Ukoliko se navedena nepravilnost odnosi na građevinske radove ili robu i to na dio nabave čiji je financijski udio manji od 1% u odnosu na cjelokupni premet nabave, financijski ispravak se određuje na način da se iz vrijednosti iznosa ugovora kao nepravilan izuzme iznos stavke troškovnika / dijela troškovnika koji je zahvaćen predmetnom nepravilnošću</w:t>
            </w:r>
          </w:p>
        </w:tc>
      </w:tr>
      <w:tr w:rsidR="004A5760" w:rsidRPr="004A5760" w14:paraId="57ED980F" w14:textId="77777777" w:rsidTr="00A8245B">
        <w:trPr>
          <w:trHeight w:val="1639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DBAE" w14:textId="77777777" w:rsidR="00804FF2" w:rsidRPr="004E1F42" w:rsidRDefault="00804FF2" w:rsidP="00804FF2">
            <w:pPr>
              <w:spacing w:before="0" w:after="0"/>
              <w:ind w:left="786"/>
              <w:jc w:val="center"/>
              <w:rPr>
                <w:rFonts w:ascii="Times New Roman" w:eastAsia="Calibri" w:hAnsi="Times New Roman" w:cs="Times New Roman"/>
              </w:rPr>
            </w:pPr>
          </w:p>
          <w:p w14:paraId="2712A5B6" w14:textId="531E26E8" w:rsidR="00804FF2" w:rsidRPr="004E1F42" w:rsidRDefault="00871B2A" w:rsidP="00804F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9</w:t>
            </w:r>
            <w:r w:rsidR="00804FF2" w:rsidRPr="004E1F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891" w14:textId="77777777" w:rsidR="00804FF2" w:rsidRPr="004E1F42" w:rsidRDefault="00804FF2" w:rsidP="00871B2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Predmeti nekoliko ugovora su u cijelosti ili djelomično, identični, te rezultiraju dvostrukim financiranjem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6728" w14:textId="77777777" w:rsidR="00804FF2" w:rsidRPr="004E1F42" w:rsidRDefault="00804FF2" w:rsidP="00804FF2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Računi dobavljača se odnose na iste usluge, robu ili radove.</w:t>
            </w:r>
          </w:p>
          <w:p w14:paraId="7D2F6A7B" w14:textId="77777777" w:rsidR="00804FF2" w:rsidRPr="004E1F42" w:rsidRDefault="00804FF2" w:rsidP="00804FF2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6055" w14:textId="48307B3B" w:rsidR="00804FF2" w:rsidRPr="004E1F42" w:rsidRDefault="00804FF2" w:rsidP="00871B2A">
            <w:pPr>
              <w:spacing w:before="0" w:after="0"/>
              <w:contextualSpacing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Times New Roman" w:hAnsi="Times New Roman" w:cs="Times New Roman"/>
                <w:lang w:eastAsia="hr-HR"/>
              </w:rPr>
              <w:t>Primjenjuje se jednostavna financijska korekcija u visini nastale financijske posljedice za ugovor o (javnoj) nabavi kada je tu posljedicu moguće količinski točno odrediti.</w:t>
            </w:r>
          </w:p>
        </w:tc>
      </w:tr>
    </w:tbl>
    <w:p w14:paraId="26502927" w14:textId="77777777" w:rsidR="008C768A" w:rsidRPr="004A5760" w:rsidRDefault="008C768A" w:rsidP="00766BE6">
      <w:pPr>
        <w:spacing w:before="0" w:after="0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C478C37" w14:textId="77777777" w:rsidR="008C768A" w:rsidRPr="004A5760" w:rsidRDefault="008C768A" w:rsidP="00766BE6">
      <w:pPr>
        <w:spacing w:before="0" w:after="0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C286BC3" w14:textId="77777777" w:rsidR="00BB538E" w:rsidRDefault="00BB538E" w:rsidP="00B505DD">
      <w:pPr>
        <w:spacing w:before="0" w:after="0"/>
        <w:contextualSpacing/>
        <w:jc w:val="center"/>
        <w:rPr>
          <w:rFonts w:ascii="Times New Roman" w:hAnsi="Times New Roman"/>
          <w:b/>
          <w:color w:val="FF0000"/>
          <w:sz w:val="20"/>
          <w:szCs w:val="24"/>
        </w:rPr>
      </w:pPr>
    </w:p>
    <w:p w14:paraId="1147DE57" w14:textId="77777777" w:rsidR="00684D16" w:rsidRPr="004A5760" w:rsidRDefault="00684D16" w:rsidP="00B505DD">
      <w:pPr>
        <w:spacing w:before="0" w:after="0"/>
        <w:contextualSpacing/>
        <w:jc w:val="center"/>
        <w:rPr>
          <w:rFonts w:ascii="Times New Roman" w:hAnsi="Times New Roman"/>
          <w:b/>
          <w:color w:val="FF0000"/>
          <w:sz w:val="20"/>
          <w:szCs w:val="24"/>
        </w:rPr>
      </w:pPr>
      <w:bookmarkStart w:id="0" w:name="_GoBack"/>
      <w:bookmarkEnd w:id="0"/>
    </w:p>
    <w:p w14:paraId="66261CBB" w14:textId="5F291357" w:rsidR="00B505DD" w:rsidRPr="004E1F42" w:rsidRDefault="00B505DD" w:rsidP="00B505DD">
      <w:pPr>
        <w:spacing w:before="0" w:after="0"/>
        <w:contextualSpacing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4E1F42">
        <w:rPr>
          <w:rFonts w:ascii="Times New Roman" w:hAnsi="Times New Roman"/>
          <w:b/>
          <w:sz w:val="24"/>
          <w:szCs w:val="24"/>
        </w:rPr>
        <w:lastRenderedPageBreak/>
        <w:t>Prilog 2</w:t>
      </w:r>
    </w:p>
    <w:p w14:paraId="0FE502E4" w14:textId="7CAEEABE" w:rsidR="00871B2A" w:rsidRPr="004E1F42" w:rsidRDefault="00871B2A" w:rsidP="00B505DD">
      <w:pPr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4E1F42">
        <w:rPr>
          <w:rFonts w:ascii="Times New Roman" w:hAnsi="Times New Roman"/>
          <w:b/>
          <w:sz w:val="24"/>
          <w:szCs w:val="24"/>
          <w:lang w:eastAsia="hr-HR"/>
        </w:rPr>
        <w:t xml:space="preserve">Nepravilnosti u kojima se određuje financijska korekcija – nabava koju provode </w:t>
      </w:r>
      <w:proofErr w:type="spellStart"/>
      <w:r w:rsidRPr="004E1F42">
        <w:rPr>
          <w:rFonts w:ascii="Times New Roman" w:hAnsi="Times New Roman"/>
          <w:b/>
          <w:sz w:val="24"/>
          <w:szCs w:val="24"/>
          <w:lang w:eastAsia="hr-HR"/>
        </w:rPr>
        <w:t>neobveznici</w:t>
      </w:r>
      <w:proofErr w:type="spellEnd"/>
      <w:r w:rsidRPr="004E1F42">
        <w:rPr>
          <w:rFonts w:ascii="Times New Roman" w:hAnsi="Times New Roman"/>
          <w:b/>
          <w:sz w:val="24"/>
          <w:szCs w:val="24"/>
          <w:lang w:eastAsia="hr-HR"/>
        </w:rPr>
        <w:t xml:space="preserve"> Zakona o javnoj nabavi</w:t>
      </w:r>
    </w:p>
    <w:p w14:paraId="5D708736" w14:textId="77777777" w:rsidR="00871B2A" w:rsidRPr="004E1F42" w:rsidRDefault="00871B2A" w:rsidP="00871B2A">
      <w:pPr>
        <w:spacing w:before="0" w:after="0"/>
        <w:contextualSpacing/>
        <w:rPr>
          <w:rFonts w:ascii="Times New Roman" w:hAnsi="Times New Roman"/>
          <w:sz w:val="24"/>
          <w:szCs w:val="24"/>
        </w:rPr>
      </w:pPr>
    </w:p>
    <w:p w14:paraId="35CAD706" w14:textId="15CFDA0E" w:rsidR="00871B2A" w:rsidRPr="004E1F42" w:rsidRDefault="00B73B37" w:rsidP="00664FD3">
      <w:p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E1F42">
        <w:rPr>
          <w:rFonts w:ascii="Times New Roman" w:hAnsi="Times New Roman"/>
          <w:sz w:val="24"/>
          <w:szCs w:val="24"/>
        </w:rPr>
        <w:t>*</w:t>
      </w:r>
      <w:r w:rsidR="00871B2A" w:rsidRPr="004E1F42">
        <w:rPr>
          <w:rFonts w:ascii="Times New Roman" w:hAnsi="Times New Roman"/>
          <w:sz w:val="24"/>
          <w:szCs w:val="24"/>
        </w:rPr>
        <w:t>Financijske korekcije koje se primjenjuju na</w:t>
      </w:r>
      <w:r w:rsidR="00FF2843" w:rsidRPr="004E1F42">
        <w:rPr>
          <w:rFonts w:ascii="Times New Roman" w:hAnsi="Times New Roman"/>
          <w:sz w:val="24"/>
          <w:szCs w:val="24"/>
        </w:rPr>
        <w:t xml:space="preserve"> pravne</w:t>
      </w:r>
      <w:r w:rsidR="00871B2A" w:rsidRPr="004E1F42">
        <w:rPr>
          <w:rFonts w:ascii="Times New Roman" w:hAnsi="Times New Roman"/>
          <w:sz w:val="24"/>
          <w:szCs w:val="24"/>
        </w:rPr>
        <w:t xml:space="preserve"> osobe koje nisu obvezne primjenjivati Zakon o javnoj nabavi se utvrđuju i primjenjuju u skladu sa  </w:t>
      </w:r>
      <w:r w:rsidR="00664FD3" w:rsidRPr="004E1F42">
        <w:rPr>
          <w:rFonts w:ascii="Times New Roman" w:hAnsi="Times New Roman"/>
          <w:sz w:val="24"/>
          <w:szCs w:val="24"/>
        </w:rPr>
        <w:t xml:space="preserve">Pravilima o provedbi postupaka nabave za </w:t>
      </w:r>
      <w:proofErr w:type="spellStart"/>
      <w:r w:rsidR="00664FD3" w:rsidRPr="004E1F42">
        <w:rPr>
          <w:rFonts w:ascii="Times New Roman" w:hAnsi="Times New Roman"/>
          <w:sz w:val="24"/>
          <w:szCs w:val="24"/>
        </w:rPr>
        <w:t>neobveznike</w:t>
      </w:r>
      <w:proofErr w:type="spellEnd"/>
      <w:r w:rsidR="00664FD3" w:rsidRPr="004E1F42">
        <w:rPr>
          <w:rFonts w:ascii="Times New Roman" w:hAnsi="Times New Roman"/>
          <w:sz w:val="24"/>
          <w:szCs w:val="24"/>
        </w:rPr>
        <w:t xml:space="preserve"> Zakona o javnoj nabavi</w:t>
      </w:r>
      <w:r w:rsidR="00664FD3" w:rsidRPr="004E1F4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71B2A" w:rsidRPr="004E1F42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="007F59D8" w:rsidRPr="004E1F42">
        <w:rPr>
          <w:rFonts w:ascii="Times New Roman" w:hAnsi="Times New Roman"/>
          <w:sz w:val="24"/>
          <w:szCs w:val="24"/>
        </w:rPr>
        <w:t xml:space="preserve"> (u daljnjem tekstu: Pravila NOJN)</w:t>
      </w:r>
      <w:r w:rsidR="00B505DD" w:rsidRPr="004E1F42">
        <w:rPr>
          <w:rFonts w:ascii="Times New Roman" w:hAnsi="Times New Roman"/>
          <w:sz w:val="24"/>
          <w:szCs w:val="24"/>
        </w:rPr>
        <w:t xml:space="preserve"> </w:t>
      </w:r>
    </w:p>
    <w:p w14:paraId="5670911C" w14:textId="77777777" w:rsidR="00B505DD" w:rsidRPr="004A5760" w:rsidRDefault="00B505DD" w:rsidP="00871B2A">
      <w:pPr>
        <w:spacing w:before="0" w:after="0"/>
        <w:contextualSpacing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52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86"/>
        <w:gridCol w:w="4032"/>
        <w:gridCol w:w="1907"/>
      </w:tblGrid>
      <w:tr w:rsidR="004A5760" w:rsidRPr="004A5760" w14:paraId="63385899" w14:textId="77777777" w:rsidTr="00795DD3">
        <w:trPr>
          <w:trHeight w:val="877"/>
          <w:tblHeader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4D47" w14:textId="77777777" w:rsidR="00B505DD" w:rsidRPr="004E1F42" w:rsidRDefault="00B505DD" w:rsidP="00795DD3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1F42">
              <w:rPr>
                <w:rFonts w:ascii="Times New Roman" w:eastAsia="Calibri" w:hAnsi="Times New Roman" w:cs="Times New Roman"/>
                <w:b/>
              </w:rPr>
              <w:t>R. B.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519F" w14:textId="77777777" w:rsidR="00B505DD" w:rsidRPr="004E1F42" w:rsidRDefault="00B505DD" w:rsidP="00795DD3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1F42">
              <w:rPr>
                <w:rFonts w:ascii="Times New Roman" w:eastAsia="Calibri" w:hAnsi="Times New Roman" w:cs="Times New Roman"/>
                <w:b/>
              </w:rPr>
              <w:t>Nepravilnost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F66A" w14:textId="42E1BF5B" w:rsidR="00B505DD" w:rsidRPr="004E1F42" w:rsidRDefault="00D10C4B" w:rsidP="00B73B37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1F42">
              <w:rPr>
                <w:rFonts w:ascii="Times New Roman" w:eastAsia="Calibri" w:hAnsi="Times New Roman" w:cs="Times New Roman"/>
                <w:b/>
              </w:rPr>
              <w:t>Opis / Primjeri (ne predstavljaju zatvoren broj, već služe isključivo kao najučestaliji primjeri i orijentiri za procjenu sličnih nepravilnosti)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F616" w14:textId="77777777" w:rsidR="00B505DD" w:rsidRPr="004E1F42" w:rsidRDefault="00B505DD" w:rsidP="00795DD3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1F42">
              <w:rPr>
                <w:rFonts w:ascii="Times New Roman" w:eastAsia="Calibri" w:hAnsi="Times New Roman" w:cs="Times New Roman"/>
                <w:b/>
              </w:rPr>
              <w:t>Financijska korekcija</w:t>
            </w:r>
          </w:p>
        </w:tc>
      </w:tr>
      <w:tr w:rsidR="004A5760" w:rsidRPr="004A5760" w14:paraId="059F48D2" w14:textId="77777777" w:rsidTr="00214BA2">
        <w:trPr>
          <w:trHeight w:val="863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BEAD" w14:textId="1BD33856" w:rsidR="007F59D8" w:rsidRPr="004E1F42" w:rsidRDefault="007F59D8" w:rsidP="006D2BA7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1.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04BD" w14:textId="77777777" w:rsidR="007F59D8" w:rsidRPr="004E1F42" w:rsidRDefault="007F59D8" w:rsidP="006D2BA7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 xml:space="preserve">Sukob interesa </w:t>
            </w:r>
          </w:p>
          <w:p w14:paraId="22D471C4" w14:textId="534496E9" w:rsidR="007F59D8" w:rsidRPr="004E1F42" w:rsidRDefault="007F59D8" w:rsidP="006D2BA7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 xml:space="preserve">(u bilo kojoj od faza javne nabave) 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36C2" w14:textId="76A38114" w:rsidR="007F59D8" w:rsidRPr="004E1F42" w:rsidRDefault="007F59D8" w:rsidP="006D2BA7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Relevantne su odredbe Pravila NOJN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800D" w14:textId="30561F6D" w:rsidR="007F59D8" w:rsidRPr="004E1F42" w:rsidRDefault="007F59D8" w:rsidP="006D2BA7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100% od ugovorenog iznosa (nema smanjenja)</w:t>
            </w:r>
          </w:p>
        </w:tc>
      </w:tr>
      <w:tr w:rsidR="004A5760" w:rsidRPr="004A5760" w14:paraId="3A78A2CA" w14:textId="77777777" w:rsidTr="00214BA2">
        <w:trPr>
          <w:trHeight w:val="70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CD72" w14:textId="4109E4D7" w:rsidR="007F59D8" w:rsidRPr="004E1F42" w:rsidRDefault="007F59D8" w:rsidP="006D2BA7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2.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DF23" w14:textId="77777777" w:rsidR="007F59D8" w:rsidRPr="004E1F42" w:rsidRDefault="007F59D8" w:rsidP="006D2BA7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Prijevara</w:t>
            </w:r>
          </w:p>
          <w:p w14:paraId="2E817644" w14:textId="6D2E1EA0" w:rsidR="007F59D8" w:rsidRPr="004E1F42" w:rsidRDefault="007F59D8" w:rsidP="006D2BA7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(u bilo kojoj od faza javne nabave)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DF1A" w14:textId="1D59C2F5" w:rsidR="007F59D8" w:rsidRPr="004E1F42" w:rsidRDefault="007F59D8" w:rsidP="006D2BA7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Prijevara je utvrđena na temelju pravomoćne odluke nadležnog pravosudnog tijela.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BE76" w14:textId="1798FAF6" w:rsidR="007F59D8" w:rsidRPr="004E1F42" w:rsidRDefault="007F59D8" w:rsidP="006D2BA7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100% od ugovorenog iznosa (nema smanjenja)</w:t>
            </w:r>
          </w:p>
        </w:tc>
      </w:tr>
      <w:tr w:rsidR="004A5760" w:rsidRPr="004A5760" w14:paraId="0F57E96D" w14:textId="77777777" w:rsidTr="00B505DD">
        <w:trPr>
          <w:trHeight w:val="102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EC92" w14:textId="275ECD5F" w:rsidR="007F59D8" w:rsidRPr="004E1F42" w:rsidRDefault="007F59D8" w:rsidP="006D2BA7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3.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723C" w14:textId="07211942" w:rsidR="007F59D8" w:rsidRPr="004E1F42" w:rsidRDefault="007F59D8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Izostanak objave poziva na dostavu ponuda </w:t>
            </w:r>
            <w:r w:rsidRPr="004E1F42">
              <w:rPr>
                <w:rFonts w:eastAsia="Calibri"/>
                <w:sz w:val="22"/>
              </w:rPr>
              <w:t>odnosno neprovođenje postupka javne nabave sukladno Pravilima NOJN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2F6E" w14:textId="3317B300" w:rsidR="007F59D8" w:rsidRPr="004E1F42" w:rsidRDefault="007F59D8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Objava poziva na dostavu ponuda </w:t>
            </w:r>
            <w:r w:rsidR="00DE5FA2" w:rsidRPr="004E1F42">
              <w:rPr>
                <w:rFonts w:eastAsia="Calibri"/>
                <w:sz w:val="22"/>
              </w:rPr>
              <w:t>nije objavljen u skladu s primjenjivim Pravilima NOJN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5B50" w14:textId="306923CC" w:rsidR="007F59D8" w:rsidRPr="004E1F42" w:rsidRDefault="007F59D8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100% korekcije od *ugovorenog iznosa (nema smanjenja)</w:t>
            </w:r>
          </w:p>
        </w:tc>
      </w:tr>
      <w:tr w:rsidR="004A5760" w:rsidRPr="004A5760" w14:paraId="50F0DFAE" w14:textId="77777777" w:rsidTr="00214BA2">
        <w:trPr>
          <w:trHeight w:val="1641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5198" w14:textId="6D1EEA31" w:rsidR="00214BA2" w:rsidRPr="004E1F42" w:rsidRDefault="00214BA2" w:rsidP="00214BA2">
            <w:pPr>
              <w:pStyle w:val="Bezproreda"/>
              <w:jc w:val="center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4.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477" w14:textId="509E836C" w:rsidR="00214BA2" w:rsidRPr="004E1F42" w:rsidRDefault="00214BA2" w:rsidP="00214BA2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Umjetna podjela ugovora o radovima/uslugama/nabavi robe s obzirom na procijenjenu vrijednost nabave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37AD" w14:textId="6C24B2BA" w:rsidR="00214BA2" w:rsidRPr="004E1F42" w:rsidRDefault="00214BA2" w:rsidP="00214BA2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Predloženi radovi ili predložena nabava određene količine robe i/ili usluga dodatno je podijeljena tako da je vrijednost nabave umjetno podijeljena, s ciljem  primjene manje konkurentnog postupka nabave s obzirom na navedene pragove za primjenu određenog postupka nabave sukladno Pravilima NOJN.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B7CD" w14:textId="70E7E5D4" w:rsidR="00214BA2" w:rsidRPr="004E1F42" w:rsidRDefault="00214BA2" w:rsidP="00214BA2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100% korekcije (agregirano)</w:t>
            </w:r>
            <w:r w:rsidRPr="004E1F42">
              <w:rPr>
                <w:sz w:val="22"/>
                <w:vertAlign w:val="superscript"/>
              </w:rPr>
              <w:footnoteReference w:id="5"/>
            </w:r>
          </w:p>
        </w:tc>
      </w:tr>
      <w:tr w:rsidR="004A5760" w:rsidRPr="004A5760" w14:paraId="6A398054" w14:textId="77777777" w:rsidTr="00214BA2">
        <w:trPr>
          <w:trHeight w:val="135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864D" w14:textId="60B944F3" w:rsidR="006D2BA7" w:rsidRPr="004E1F42" w:rsidRDefault="006D2BA7" w:rsidP="006D2BA7">
            <w:pPr>
              <w:pStyle w:val="Bezproreda"/>
              <w:jc w:val="center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5.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F88F" w14:textId="25B2A172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Izostanak provođenja postupka javne nabave u slučajevima kada je to propisano čl. 39. Zakona o javnoj nabavi 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5DA4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Izostanak primjene Zakona o javnoj nabavi, sukladno članku 39. Zakona o javnoj nabavi (ZJN 2016)</w:t>
            </w:r>
          </w:p>
          <w:p w14:paraId="175E75D2" w14:textId="1847736C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B409" w14:textId="1B7D5395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rFonts w:eastAsia="Calibri"/>
                <w:sz w:val="22"/>
                <w:szCs w:val="22"/>
              </w:rPr>
              <w:t>100% od ugovorenog iznosa (nema smanjenja)</w:t>
            </w:r>
          </w:p>
        </w:tc>
      </w:tr>
      <w:tr w:rsidR="004A5760" w:rsidRPr="004A5760" w14:paraId="3AFECAD0" w14:textId="77777777" w:rsidTr="00214BA2">
        <w:trPr>
          <w:trHeight w:val="135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CE6" w14:textId="5BB765C0" w:rsidR="006D2BA7" w:rsidRPr="004E1F42" w:rsidRDefault="006D2BA7" w:rsidP="006D2BA7">
            <w:pPr>
              <w:pStyle w:val="Bezproreda"/>
              <w:jc w:val="center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6.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060B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Neopravdano korištenje posebnog postupka nabave iz razloga žurnosti</w:t>
            </w:r>
          </w:p>
          <w:p w14:paraId="734A0544" w14:textId="79B8F59D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ili</w:t>
            </w:r>
          </w:p>
          <w:p w14:paraId="1A94590D" w14:textId="47B3883D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zbog nemogućnosti prikupljanja više ponuda na tržištu jer je predmet nabave vezan isključivo uz određenog gospodarskog subjekta koji ga jedini može isporučiti.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E17B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NOJN nije dokazao potrebu za žurnim postupanjem.</w:t>
            </w:r>
          </w:p>
          <w:p w14:paraId="482904DD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F065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25 % od ugovorenog iznosa</w:t>
            </w:r>
          </w:p>
          <w:p w14:paraId="68AC7484" w14:textId="13ABF6AF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Korekcija  se može smanjiti na 10% ili 5 % ovisno o ozbiljnosti nepravilnosti </w:t>
            </w:r>
          </w:p>
        </w:tc>
      </w:tr>
      <w:tr w:rsidR="004A5760" w:rsidRPr="004A5760" w14:paraId="0BB2313E" w14:textId="77777777" w:rsidTr="00214BA2">
        <w:trPr>
          <w:trHeight w:val="135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97B7" w14:textId="4E17C681" w:rsidR="006D2BA7" w:rsidRPr="004E1F42" w:rsidRDefault="006D2BA7" w:rsidP="006D2BA7">
            <w:pPr>
              <w:pStyle w:val="Bezproreda"/>
              <w:jc w:val="center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lastRenderedPageBreak/>
              <w:t>7.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F842" w14:textId="0282C25C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Skraćivanje rokova za dostavu ponuda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EAD5" w14:textId="4D36F241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Rokovi za zaprimanje ponuda (ili zaprimanje zahtjeva za sudjelovanje) bili su kraći od rokova navedenih u Pravilima NOJN.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44B8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25 % ako je smanjenje rokova &gt;= 50 %</w:t>
            </w:r>
          </w:p>
          <w:p w14:paraId="3CD7FD78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10 % ako je smanjenje rokova &gt;= 30 % </w:t>
            </w:r>
          </w:p>
          <w:p w14:paraId="4523A807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5 % ako je drukčije smanjenje rokova </w:t>
            </w:r>
          </w:p>
          <w:p w14:paraId="285CD05C" w14:textId="03F200AB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(ta se stopa ispravka može smanjiti na od 2 % do 5 % kada se smatra da priroda i ozbiljnost nedostatka ne opravdavaju stopu ispravka od 5 %).</w:t>
            </w:r>
          </w:p>
        </w:tc>
      </w:tr>
      <w:tr w:rsidR="004A5760" w:rsidRPr="004A5760" w14:paraId="05607D4B" w14:textId="77777777" w:rsidTr="00214BA2">
        <w:trPr>
          <w:trHeight w:val="135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8A63" w14:textId="61B34B8F" w:rsidR="006D2BA7" w:rsidRPr="004E1F42" w:rsidRDefault="006D2BA7" w:rsidP="006D2BA7">
            <w:pPr>
              <w:pStyle w:val="Bezproreda"/>
              <w:jc w:val="center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8.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80CA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Izostanak objave produljenih rokova</w:t>
            </w:r>
          </w:p>
          <w:p w14:paraId="61B4AB97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9F76" w14:textId="4DE888E5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Izostanak objave produljenih rokova za zaprimanje ponuda.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85EA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10 % </w:t>
            </w:r>
          </w:p>
          <w:p w14:paraId="6A1D6960" w14:textId="49966236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Korekcija se može smanjiti na 5 % ovisno o ozbiljnosti nepravilnosti.</w:t>
            </w:r>
          </w:p>
        </w:tc>
      </w:tr>
      <w:tr w:rsidR="004A5760" w:rsidRPr="004A5760" w14:paraId="1CB7EBA4" w14:textId="77777777" w:rsidTr="00214BA2">
        <w:trPr>
          <w:trHeight w:val="135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403C" w14:textId="56D7B1D1" w:rsidR="006D2BA7" w:rsidRPr="004E1F42" w:rsidRDefault="006D2BA7" w:rsidP="006D2BA7">
            <w:pPr>
              <w:pStyle w:val="Bezproreda"/>
              <w:jc w:val="center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9.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1AD3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Slučajevi u kojima su potencijalni ponuditelji bili odvraćeni od nadmetanja zbog nezakonitih kriterija u pozivu na dostavu ponuda.</w:t>
            </w:r>
          </w:p>
          <w:p w14:paraId="1C2AEACB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</w:p>
          <w:p w14:paraId="357E34EE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</w:p>
          <w:p w14:paraId="50092C51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575E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Sukladno Pravilima NOJN radi se o povredi načela. </w:t>
            </w:r>
          </w:p>
          <w:p w14:paraId="5CF9CF0A" w14:textId="547310A1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Npr.: kriteriji za odabir ponuditelja propisani su na način da zahtijevaju potencijalne ponuditelje točno određene nacionalnosti, zemljopisnog podrijetla ili radno iskustvo koje je moguće ostvariti jedino u manjem broju država članica EU;</w:t>
            </w:r>
          </w:p>
          <w:p w14:paraId="0AF5F645" w14:textId="76889F4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kriteriji za odabir ponuditelja nameću zahtjeve u pogledu pravnog statusa ponuditelja, npr. zabranjuje se fizičkim osobama da osnivaju društva ili da fizičke osobe sudjeluju u određenom nadmetanju;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F2A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25% od ugovorenog iznosa</w:t>
            </w:r>
          </w:p>
          <w:p w14:paraId="0110FF83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Korekcija se može umanjiti na 10% ili 5% ovisno o ozbiljnosti nepravilnosti</w:t>
            </w:r>
          </w:p>
          <w:p w14:paraId="18F57C8D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</w:p>
        </w:tc>
      </w:tr>
      <w:tr w:rsidR="004A5760" w:rsidRPr="004A5760" w14:paraId="538D65C6" w14:textId="77777777" w:rsidTr="002E0148">
        <w:trPr>
          <w:trHeight w:val="809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1334" w14:textId="7286362B" w:rsidR="006D2BA7" w:rsidRPr="004E1F42" w:rsidRDefault="006D2BA7" w:rsidP="006D2BA7">
            <w:pPr>
              <w:pStyle w:val="Bezproreda"/>
              <w:jc w:val="center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10.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51AE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Uvjeti i zahtjevi koje moraju ispunjavati potencijalni ponuditelji nisu povezani s predmetom ugovora i nisu razmjerni predmetu ugovora.</w:t>
            </w:r>
          </w:p>
          <w:p w14:paraId="16E6946D" w14:textId="250E416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Može se dokazati da minimalne razine sposobnosti za određeni ugovor nisu povezane s predmetom ugovora niti su razmjerne predmetu ugovora, pri čemu se ne osigurava jednak pristup ponuditeljima ili to ima učinak stvaranja </w:t>
            </w:r>
            <w:r w:rsidRPr="004E1F42">
              <w:rPr>
                <w:sz w:val="22"/>
              </w:rPr>
              <w:lastRenderedPageBreak/>
              <w:t>neopravdanih prepreka otvaranju nabave za tržišno natjecanje.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C79B" w14:textId="42D5C05F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lastRenderedPageBreak/>
              <w:t>Sukladno Pravilima NOJN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C40E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25 %</w:t>
            </w:r>
          </w:p>
          <w:p w14:paraId="656E4D03" w14:textId="5D731324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Korekcija se može smanjiti na 10 % ili 5 % ovisno o ozbiljnosti nepravilnosti.</w:t>
            </w:r>
          </w:p>
        </w:tc>
      </w:tr>
      <w:tr w:rsidR="004A5760" w:rsidRPr="004A5760" w14:paraId="6C6EA836" w14:textId="77777777" w:rsidTr="00214BA2">
        <w:trPr>
          <w:trHeight w:val="135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8697" w14:textId="6C380D7F" w:rsidR="006D2BA7" w:rsidRPr="004E1F42" w:rsidRDefault="006D2BA7" w:rsidP="006D2BA7">
            <w:pPr>
              <w:pStyle w:val="Bezproreda"/>
              <w:jc w:val="center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11.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4311" w14:textId="5EA9871B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Diskriminirajuće tehničke specifikacije 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F645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Određivanje tehničkih standarda koji su specifični i tako da se njima ne osigurava jednak pristup za ponuditelje ili imaju učinak stvaranja neopravdanih prepreka otvaranju nabave za tržišno natjecanje.</w:t>
            </w:r>
          </w:p>
          <w:p w14:paraId="4CF92631" w14:textId="77777777" w:rsidR="003E44A9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Npr. </w:t>
            </w:r>
          </w:p>
          <w:p w14:paraId="02E71303" w14:textId="0D3B11C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tehničke specifikacije sadrže naziv robne marke, bez naznaka „ili jednakovrijedno“;</w:t>
            </w:r>
          </w:p>
          <w:p w14:paraId="75D11E0C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tehničke specifikacije ne sadrže naziv robne marke, ali sadrže tehničke i funkcionalne zahtjeve koji su definirani na način da samo određena robna marka iste može ispuniti;</w:t>
            </w:r>
          </w:p>
          <w:p w14:paraId="727AA8E5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tehničke specifikacije ne uključuju kriterij pristupačnosti osobama s invaliditetom (ako je primjenjivo u specifičnim postupcima  nabave);</w:t>
            </w:r>
          </w:p>
          <w:p w14:paraId="66AE57BE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poziv na dostavu ponude sadrži zahtjev da u trenutku predaje ponude, ponuditelj mora imati potpisan ugovor s trećim stranama o izvršenju pojedinih zadataka u okviru potencijalnog ugovora (potvrde/izjave bi trebale biti dovoljne);</w:t>
            </w:r>
          </w:p>
          <w:p w14:paraId="0161D8E4" w14:textId="649523CF" w:rsidR="006D2BA7" w:rsidRPr="004E1F42" w:rsidRDefault="006D2BA7" w:rsidP="003E44A9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navođenje normi i njihovo određivanje u  pozivu na dostavu ponude  bez oznake „ili jednakovrijedno“ odnosno nenavođenje da će se osim zahtijevanih normi, prihvatiti i druge jednakovrijedne mjere osiguranja kvalitete, isključivo ukoliko je tako izričito propisano u Pravilima </w:t>
            </w:r>
            <w:r w:rsidR="003E44A9" w:rsidRPr="004E1F42">
              <w:rPr>
                <w:sz w:val="22"/>
              </w:rPr>
              <w:t>NOJN</w:t>
            </w:r>
            <w:r w:rsidRPr="004E1F42">
              <w:rPr>
                <w:sz w:val="22"/>
              </w:rPr>
              <w:t xml:space="preserve"> (npr. ako naručitelj zahtijeva prilaganje potvrda neovisnih tijela kojima se potvrđuje sukladnost gospodarskog subjekta s određenim normama osiguranja kvalitete, uključujući pristupačnost za osobe s invaliditetom, obvezan je uputiti na sustave osiguranja kvalitete koji se temelje na odgovarajućim serijama europskih normi koje su potvrdila akreditirana tijela, a naručitelj mora priznati jednakovrijedne potvrde tijela osnovanih u drugim državama članicama te mora prihvatiti dokaze o jednakovrijednim mjerama osiguranja kvalitete).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6801" w14:textId="77777777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25 % </w:t>
            </w:r>
          </w:p>
          <w:p w14:paraId="21CA6418" w14:textId="633CBB3D" w:rsidR="006D2BA7" w:rsidRPr="004E1F42" w:rsidRDefault="006D2BA7" w:rsidP="006D2BA7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Korekcija se može smanjiti na 10 % ili 5 % ovisno o ozbiljnosti nepravilnosti.</w:t>
            </w:r>
          </w:p>
        </w:tc>
      </w:tr>
      <w:tr w:rsidR="004A5760" w:rsidRPr="004A5760" w14:paraId="119B6AAF" w14:textId="77777777" w:rsidTr="00214BA2">
        <w:trPr>
          <w:trHeight w:val="135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D9A8" w14:textId="488BA194" w:rsidR="003E44A9" w:rsidRPr="004E1F42" w:rsidRDefault="003E44A9" w:rsidP="003E44A9">
            <w:pPr>
              <w:pStyle w:val="Bezproreda"/>
              <w:jc w:val="center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lastRenderedPageBreak/>
              <w:t>12.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D460" w14:textId="59274342" w:rsidR="003E44A9" w:rsidRPr="004E1F42" w:rsidRDefault="003E44A9" w:rsidP="003E44A9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Nedostatna definicija predmeta nabave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589D" w14:textId="75AC6B58" w:rsidR="003E44A9" w:rsidRPr="004E1F42" w:rsidRDefault="003E44A9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Opis u pozivu na dostavu ponuda nedostatan je potencijalnim ponuditeljima za određivanje predmeta ugovora.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B139" w14:textId="77777777" w:rsidR="003E44A9" w:rsidRPr="004E1F42" w:rsidRDefault="003E44A9" w:rsidP="003E44A9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10 % </w:t>
            </w:r>
          </w:p>
          <w:p w14:paraId="549274E5" w14:textId="729F1816" w:rsidR="003E44A9" w:rsidRPr="004E1F42" w:rsidRDefault="003E44A9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Korekcija  se može smanjiti na 5 % ovisno o ozbiljnosti nepravilnosti. </w:t>
            </w:r>
          </w:p>
        </w:tc>
      </w:tr>
      <w:tr w:rsidR="004A5760" w:rsidRPr="004A5760" w14:paraId="3CAB10AE" w14:textId="77777777" w:rsidTr="00214BA2">
        <w:trPr>
          <w:trHeight w:val="135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169" w14:textId="09ABABD2" w:rsidR="003E44A9" w:rsidRPr="004E1F42" w:rsidRDefault="003E44A9" w:rsidP="003E44A9">
            <w:pPr>
              <w:pStyle w:val="Bezproreda"/>
              <w:jc w:val="center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13.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8BE0" w14:textId="0A36BE1D" w:rsidR="003E44A9" w:rsidRPr="004E1F42" w:rsidRDefault="003E44A9" w:rsidP="003E44A9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Izmjena ponude tijekom pregleda i ocjene ponuda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1934" w14:textId="32F5F315" w:rsidR="003E44A9" w:rsidRPr="004E1F42" w:rsidRDefault="003E44A9" w:rsidP="003E44A9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NOJN omogućava ponuditelju izmjenu ponude tijekom ocjene ponuda, a što se ne smatra dopunom ponude na temelju točke Pravila NOJN. Pojašnjenje ne smije rezultirati izmjenom ponude.</w:t>
            </w:r>
          </w:p>
          <w:p w14:paraId="3CA7C2BA" w14:textId="77777777" w:rsidR="003E44A9" w:rsidRPr="004E1F42" w:rsidRDefault="003E44A9" w:rsidP="003E44A9">
            <w:pPr>
              <w:pStyle w:val="Bezproreda"/>
              <w:rPr>
                <w:sz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C259" w14:textId="77777777" w:rsidR="003E44A9" w:rsidRPr="004E1F42" w:rsidRDefault="003E44A9" w:rsidP="003E44A9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25%</w:t>
            </w:r>
          </w:p>
          <w:p w14:paraId="0AE635D0" w14:textId="1D3B9DE3" w:rsidR="003E44A9" w:rsidRPr="004E1F42" w:rsidRDefault="003E44A9" w:rsidP="003E44A9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Korekcija  se može smanjiti na 10% ili 5% ovisno o ozbiljnosti nepravilnosti</w:t>
            </w:r>
          </w:p>
        </w:tc>
      </w:tr>
      <w:tr w:rsidR="004A5760" w:rsidRPr="004A5760" w14:paraId="77681FB2" w14:textId="77777777" w:rsidTr="00214BA2">
        <w:trPr>
          <w:trHeight w:val="135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D5E0" w14:textId="7094F70F" w:rsidR="003E44A9" w:rsidRPr="004E1F42" w:rsidRDefault="003E44A9" w:rsidP="003E44A9">
            <w:pPr>
              <w:pStyle w:val="Bezproreda"/>
              <w:jc w:val="center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14.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D7AE" w14:textId="4C992644" w:rsidR="003E44A9" w:rsidRPr="004E1F42" w:rsidRDefault="003E44A9" w:rsidP="003E44A9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Nejednaki tretman ponuditelja tijekom pregleda i ocjene ponuda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F7DF" w14:textId="2A5DE222" w:rsidR="003E44A9" w:rsidRPr="004E1F42" w:rsidRDefault="003E44A9" w:rsidP="003E44A9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Prilikom pregled i ocjene ponuda nije zatražen dopuna ponuda od svih ponuditelja, na jednak način.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0D9D" w14:textId="77777777" w:rsidR="003E44A9" w:rsidRPr="004E1F42" w:rsidRDefault="003E44A9" w:rsidP="003E44A9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25%</w:t>
            </w:r>
          </w:p>
          <w:p w14:paraId="664EC854" w14:textId="4C4C2304" w:rsidR="003E44A9" w:rsidRPr="004E1F42" w:rsidRDefault="003E44A9" w:rsidP="003E44A9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Korekcija  se može smanjiti na 10% ili 5% ovisno o ozbiljnosti nepravilnosti</w:t>
            </w:r>
          </w:p>
        </w:tc>
      </w:tr>
      <w:tr w:rsidR="004A5760" w:rsidRPr="004A5760" w14:paraId="32604EDA" w14:textId="77777777" w:rsidTr="00214BA2">
        <w:trPr>
          <w:trHeight w:val="135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2355" w14:textId="33BDBEF0" w:rsidR="003E44A9" w:rsidRPr="004E1F42" w:rsidRDefault="003E44A9" w:rsidP="003E44A9">
            <w:pPr>
              <w:pStyle w:val="Bezproreda"/>
              <w:jc w:val="center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15.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64DF" w14:textId="4BE2660D" w:rsidR="003E44A9" w:rsidRPr="004E1F42" w:rsidRDefault="003E44A9" w:rsidP="003E44A9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Ponuditelj nije odabran u skladu s kriterijima odabira 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958E" w14:textId="4771E13B" w:rsidR="003E44A9" w:rsidRPr="004E1F42" w:rsidRDefault="003E44A9" w:rsidP="003E44A9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Ponuditelj nije odabran u skladu s kriterijima odabira utvrđenim u pozivu na dostavu ponude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6C79" w14:textId="77777777" w:rsidR="003E44A9" w:rsidRPr="004E1F42" w:rsidRDefault="003E44A9" w:rsidP="003E44A9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25% od ugovorenog iznosa</w:t>
            </w:r>
          </w:p>
          <w:p w14:paraId="25F13A8F" w14:textId="34804835" w:rsidR="003E44A9" w:rsidRPr="004E1F42" w:rsidRDefault="003E44A9" w:rsidP="003E44A9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Korekcija  se može smanjiti na 10% ili 5% ovisno o ozbiljnosti nepravilnosti</w:t>
            </w:r>
          </w:p>
        </w:tc>
      </w:tr>
      <w:tr w:rsidR="004A5760" w:rsidRPr="004A5760" w14:paraId="3DE7E1D4" w14:textId="77777777" w:rsidTr="00214BA2">
        <w:trPr>
          <w:trHeight w:val="135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6AFE" w14:textId="03CF61A1" w:rsidR="00D10C4B" w:rsidRPr="004E1F42" w:rsidRDefault="00D10C4B" w:rsidP="00D10C4B">
            <w:pPr>
              <w:pStyle w:val="Bezproreda"/>
              <w:jc w:val="center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16.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6466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Ponuda odabranog ponuditelja nije u skladu s tehničkim specifikacijama iz  poziva na dostavu ponuda.</w:t>
            </w:r>
          </w:p>
          <w:p w14:paraId="22AC5A33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</w:p>
          <w:p w14:paraId="5FF58ECD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1265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Odabrana ponuda značajno odudara od tehničkih specifikacija, što bi moglo dovesti do različitih rezultata vrednovanja.</w:t>
            </w:r>
          </w:p>
          <w:p w14:paraId="6A744A7A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8B8E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25% od ugovorenog iznosa</w:t>
            </w:r>
          </w:p>
          <w:p w14:paraId="0A5A1BC4" w14:textId="0C01786B" w:rsidR="00D10C4B" w:rsidRPr="004E1F42" w:rsidRDefault="00D10C4B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Korekcija  se može smanjiti na 10% ili 5% ovisno o ozbiljnosti nepravilnosti</w:t>
            </w:r>
          </w:p>
        </w:tc>
      </w:tr>
      <w:tr w:rsidR="004A5760" w:rsidRPr="004A5760" w14:paraId="311CDC1B" w14:textId="77777777" w:rsidTr="00214BA2">
        <w:trPr>
          <w:trHeight w:val="135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F5E0" w14:textId="1F278B0E" w:rsidR="00D10C4B" w:rsidRPr="004E1F42" w:rsidRDefault="00D10C4B" w:rsidP="00D10C4B">
            <w:pPr>
              <w:pStyle w:val="Bezproreda"/>
              <w:jc w:val="center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17.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CE42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Izmjene uvjeta poziva  na dostavu ponuda tijekom i nakon okončanja postupka</w:t>
            </w:r>
          </w:p>
          <w:p w14:paraId="5D4D9769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</w:p>
          <w:p w14:paraId="21AC706A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8465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Tijekom ugovaranja, izvorni uvjeti postupka su  izmijenjeni u korist ponuditelja, osiguravajući dodatnu financijsku korist ponuditelju u tijeku provedbe ugovora (uključuje slučajeve u kojima nije moguće izračunati financijski utjecaj), primjerice: </w:t>
            </w:r>
          </w:p>
          <w:p w14:paraId="6901C3B9" w14:textId="048EBCC6" w:rsidR="00D10C4B" w:rsidRPr="004E1F42" w:rsidRDefault="00D10C4B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jamstva nisu zatražena, iako su navedena u pozivu na dostavu ponuda,</w:t>
            </w:r>
          </w:p>
          <w:p w14:paraId="03BE706B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jamstva nisu dostavljena,</w:t>
            </w:r>
          </w:p>
          <w:p w14:paraId="3BEB750A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iznos jamstva je smanjen, </w:t>
            </w:r>
          </w:p>
          <w:p w14:paraId="52F5D500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bankovne garancije su zamijenjene garancijama osiguravajućih društava ili bjanko ili običnim zadužnicama,</w:t>
            </w:r>
          </w:p>
          <w:p w14:paraId="3BF94F12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povoljniji uvjeti plaćanja (uključujući povećanje zajmova);</w:t>
            </w:r>
          </w:p>
          <w:p w14:paraId="665B38DB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smanjeni opseg usluga, roba, radova,</w:t>
            </w:r>
          </w:p>
          <w:p w14:paraId="54A12929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produženi rokovi isporuke,</w:t>
            </w:r>
          </w:p>
          <w:p w14:paraId="6F614468" w14:textId="018661AF" w:rsidR="00D10C4B" w:rsidRPr="004E1F42" w:rsidRDefault="00D10C4B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ugovorne kazne za odgođeno, izvršenje izbrisane iz odredbi ugovora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E2C9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25% od ugovorenog iznosa </w:t>
            </w:r>
          </w:p>
          <w:p w14:paraId="3C8E20F2" w14:textId="77777777" w:rsidR="00D10C4B" w:rsidRPr="004E1F42" w:rsidRDefault="00D10C4B" w:rsidP="00D10C4B">
            <w:pPr>
              <w:pStyle w:val="Bezproreda"/>
              <w:rPr>
                <w:sz w:val="22"/>
              </w:rPr>
            </w:pPr>
          </w:p>
          <w:p w14:paraId="018A48F0" w14:textId="3392BB48" w:rsidR="00D10C4B" w:rsidRPr="004E1F42" w:rsidRDefault="00D10C4B" w:rsidP="00D10C4B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>Korekcija se može umanjiti na 10% ili 5% ovisno o ozbiljnosti nepravilnosti</w:t>
            </w:r>
          </w:p>
        </w:tc>
      </w:tr>
    </w:tbl>
    <w:p w14:paraId="2005C1A2" w14:textId="77777777" w:rsidR="00D33D35" w:rsidRDefault="00D33D35" w:rsidP="00D10C4B">
      <w:pPr>
        <w:pStyle w:val="Bezproreda"/>
        <w:jc w:val="center"/>
        <w:rPr>
          <w:rFonts w:eastAsia="Calibri"/>
          <w:b/>
        </w:rPr>
      </w:pPr>
    </w:p>
    <w:p w14:paraId="2E7E5EDC" w14:textId="77777777" w:rsidR="00704E9E" w:rsidRPr="004E1F42" w:rsidRDefault="00704E9E" w:rsidP="00D10C4B">
      <w:pPr>
        <w:pStyle w:val="Bezproreda"/>
        <w:jc w:val="center"/>
        <w:rPr>
          <w:rFonts w:eastAsia="Calibri"/>
          <w:b/>
        </w:rPr>
      </w:pPr>
      <w:r w:rsidRPr="004E1F42">
        <w:rPr>
          <w:rFonts w:eastAsia="Calibri"/>
          <w:b/>
        </w:rPr>
        <w:t>Prilog 3</w:t>
      </w:r>
    </w:p>
    <w:p w14:paraId="4109E721" w14:textId="55F01041" w:rsidR="00704E9E" w:rsidRPr="004E1F42" w:rsidRDefault="00704E9E" w:rsidP="00D10C4B">
      <w:pPr>
        <w:pStyle w:val="Bezproreda"/>
        <w:jc w:val="center"/>
        <w:rPr>
          <w:b/>
          <w:lang w:eastAsia="hr-HR"/>
        </w:rPr>
      </w:pPr>
      <w:r w:rsidRPr="004E1F42">
        <w:rPr>
          <w:b/>
          <w:lang w:eastAsia="hr-HR"/>
        </w:rPr>
        <w:t>Nepravilnosti u kojima se određuje financijska korekcija –</w:t>
      </w:r>
    </w:p>
    <w:p w14:paraId="4B003840" w14:textId="77777777" w:rsidR="00704E9E" w:rsidRPr="004E1F42" w:rsidRDefault="00704E9E" w:rsidP="00D10C4B">
      <w:pPr>
        <w:pStyle w:val="Bezproreda"/>
        <w:jc w:val="center"/>
        <w:rPr>
          <w:b/>
          <w:lang w:eastAsia="hr-HR"/>
        </w:rPr>
      </w:pPr>
      <w:r w:rsidRPr="004E1F42">
        <w:rPr>
          <w:b/>
          <w:lang w:eastAsia="hr-HR"/>
        </w:rPr>
        <w:t xml:space="preserve">nepravilnosti izuzev nepravilnosti u postupcima </w:t>
      </w:r>
      <w:r w:rsidR="00D67587" w:rsidRPr="004E1F42">
        <w:rPr>
          <w:b/>
          <w:lang w:eastAsia="hr-HR"/>
        </w:rPr>
        <w:t xml:space="preserve">(javnih) </w:t>
      </w:r>
      <w:r w:rsidRPr="004E1F42">
        <w:rPr>
          <w:b/>
          <w:lang w:eastAsia="hr-HR"/>
        </w:rPr>
        <w:t>nabava</w:t>
      </w:r>
      <w:r w:rsidR="0098227B" w:rsidRPr="004E1F42">
        <w:rPr>
          <w:rStyle w:val="Referencafusnote"/>
          <w:b/>
          <w:lang w:eastAsia="hr-HR"/>
        </w:rPr>
        <w:footnoteReference w:id="6"/>
      </w:r>
    </w:p>
    <w:p w14:paraId="627ADD65" w14:textId="77777777" w:rsidR="00704E9E" w:rsidRPr="004A5760" w:rsidRDefault="00704E9E" w:rsidP="00704E9E">
      <w:pPr>
        <w:spacing w:before="0" w:after="0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E8C45FB" w14:textId="77777777" w:rsidR="00D0103E" w:rsidRPr="004A5760" w:rsidRDefault="00D0103E" w:rsidP="00D0103E">
      <w:pPr>
        <w:spacing w:before="0" w:after="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W w:w="520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903"/>
        <w:gridCol w:w="4012"/>
        <w:gridCol w:w="1849"/>
      </w:tblGrid>
      <w:tr w:rsidR="004A5760" w:rsidRPr="004A5760" w14:paraId="5EB5A73C" w14:textId="77777777" w:rsidTr="00306843">
        <w:trPr>
          <w:tblHeader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834E" w14:textId="0415F8E2" w:rsidR="00D10C4B" w:rsidRPr="004E1F42" w:rsidRDefault="00D10C4B" w:rsidP="00D10C4B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1F42">
              <w:rPr>
                <w:rFonts w:ascii="Times New Roman" w:eastAsia="Calibri" w:hAnsi="Times New Roman" w:cs="Times New Roman"/>
                <w:b/>
              </w:rPr>
              <w:t>R. B.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07FF" w14:textId="59A6678A" w:rsidR="00D10C4B" w:rsidRPr="004E1F42" w:rsidRDefault="00D10C4B" w:rsidP="00D10C4B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1F42">
              <w:rPr>
                <w:rFonts w:ascii="Times New Roman" w:eastAsia="Calibri" w:hAnsi="Times New Roman" w:cs="Times New Roman"/>
                <w:b/>
              </w:rPr>
              <w:t>Nepravilnost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D717" w14:textId="0A5DA6A1" w:rsidR="00D10C4B" w:rsidRPr="004E1F42" w:rsidRDefault="00D10C4B" w:rsidP="00D10C4B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1F42">
              <w:rPr>
                <w:rFonts w:ascii="Times New Roman" w:eastAsia="Calibri" w:hAnsi="Times New Roman" w:cs="Times New Roman"/>
                <w:b/>
              </w:rPr>
              <w:t>Opis / Primjeri (ne predstavljaju zatvoren broj, već služe isključivo kao najučestaliji primjeri i orijentiri za procjenu sličnih nepravilnosti)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8518" w14:textId="0F085D45" w:rsidR="00D10C4B" w:rsidRPr="004E1F42" w:rsidRDefault="00D10C4B" w:rsidP="00D10C4B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1F42">
              <w:rPr>
                <w:rFonts w:ascii="Times New Roman" w:eastAsia="Calibri" w:hAnsi="Times New Roman" w:cs="Times New Roman"/>
                <w:b/>
              </w:rPr>
              <w:t>Financijska korekcija</w:t>
            </w:r>
          </w:p>
        </w:tc>
      </w:tr>
      <w:tr w:rsidR="004A5760" w:rsidRPr="004A5760" w14:paraId="2F8F102A" w14:textId="77777777" w:rsidTr="00306843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E71A" w14:textId="77777777" w:rsidR="00D0103E" w:rsidRPr="004E1F42" w:rsidRDefault="00974C5D" w:rsidP="00974C5D">
            <w:pPr>
              <w:spacing w:before="0" w:after="0"/>
              <w:ind w:left="157" w:hanging="123"/>
              <w:jc w:val="center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BB72" w14:textId="77777777" w:rsidR="00D0103E" w:rsidRPr="004E1F42" w:rsidRDefault="00D0103E" w:rsidP="00306843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Prijevara koja se ne odnosi na javnu nabavu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E27" w14:textId="5CAEDA03" w:rsidR="00D0103E" w:rsidRPr="004E1F42" w:rsidRDefault="00D0103E" w:rsidP="00774610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Prijevara je utvrđena na temelju pravomoćne/konačne odluke nadležnog pravosudnog tijela</w:t>
            </w:r>
            <w:r w:rsidR="0035222B" w:rsidRPr="004E1F42">
              <w:rPr>
                <w:rFonts w:eastAsia="Calibri"/>
                <w:sz w:val="22"/>
              </w:rPr>
              <w:t xml:space="preserve"> kojom je utvrđeno da je kazneno djelo povezano s </w:t>
            </w:r>
            <w:r w:rsidR="00774610">
              <w:rPr>
                <w:rFonts w:eastAsia="Calibri"/>
                <w:sz w:val="22"/>
              </w:rPr>
              <w:t>projektom</w:t>
            </w:r>
            <w:r w:rsidRPr="004E1F42">
              <w:rPr>
                <w:rFonts w:eastAsia="Calibri"/>
                <w:sz w:val="22"/>
              </w:rPr>
              <w:t>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5ACD" w14:textId="77154E49" w:rsidR="00D0103E" w:rsidRPr="004E1F42" w:rsidRDefault="00306843" w:rsidP="00306843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100% korekcija</w:t>
            </w:r>
          </w:p>
        </w:tc>
      </w:tr>
      <w:tr w:rsidR="004A5760" w:rsidRPr="004A5760" w14:paraId="5C27557D" w14:textId="77777777" w:rsidTr="00306843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DCBF" w14:textId="77777777" w:rsidR="00D0103E" w:rsidRPr="004E1F42" w:rsidRDefault="00974C5D" w:rsidP="00974C5D">
            <w:pPr>
              <w:spacing w:before="0" w:after="0"/>
              <w:ind w:left="567" w:hanging="533"/>
              <w:jc w:val="center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 xml:space="preserve">2.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5BC9" w14:textId="77777777" w:rsidR="00D0103E" w:rsidRPr="004E1F42" w:rsidRDefault="00D0103E" w:rsidP="00306843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Sukob interesa</w:t>
            </w:r>
            <w:r w:rsidR="00DD4888" w:rsidRPr="004E1F42">
              <w:rPr>
                <w:rFonts w:eastAsia="Calibri"/>
                <w:sz w:val="22"/>
              </w:rPr>
              <w:t xml:space="preserve"> </w:t>
            </w:r>
            <w:r w:rsidRPr="004E1F42">
              <w:rPr>
                <w:rFonts w:eastAsia="Calibri"/>
                <w:sz w:val="22"/>
              </w:rPr>
              <w:t>ko</w:t>
            </w:r>
            <w:r w:rsidR="00DD4888" w:rsidRPr="004E1F42">
              <w:rPr>
                <w:rFonts w:eastAsia="Calibri"/>
                <w:sz w:val="22"/>
              </w:rPr>
              <w:t>ji se ne odnosi na javnu nabavu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0409" w14:textId="77777777" w:rsidR="00D0103E" w:rsidRPr="004E1F42" w:rsidRDefault="00DD4888" w:rsidP="00306843">
            <w:pPr>
              <w:pStyle w:val="Bezproreda"/>
              <w:rPr>
                <w:sz w:val="22"/>
                <w:lang w:eastAsia="ar-SA"/>
              </w:rPr>
            </w:pPr>
            <w:r w:rsidRPr="004E1F42">
              <w:rPr>
                <w:rFonts w:eastAsia="Calibri"/>
                <w:sz w:val="22"/>
              </w:rPr>
              <w:t>Procjenjuje se u skladu s odredbama Uredbe (EZ) br. 966/2012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BB30" w14:textId="77777777" w:rsidR="00D0103E" w:rsidRPr="004E1F42" w:rsidRDefault="00D0103E" w:rsidP="00306843">
            <w:pPr>
              <w:pStyle w:val="Bezproreda"/>
              <w:rPr>
                <w:rFonts w:eastAsia="Calibri"/>
                <w:bCs/>
                <w:sz w:val="22"/>
              </w:rPr>
            </w:pPr>
            <w:r w:rsidRPr="004E1F42">
              <w:rPr>
                <w:rFonts w:eastAsia="Calibri"/>
                <w:bCs/>
                <w:sz w:val="22"/>
              </w:rPr>
              <w:t xml:space="preserve">100 % korekcija </w:t>
            </w:r>
            <w:r w:rsidR="00617CDC" w:rsidRPr="004E1F42">
              <w:rPr>
                <w:rFonts w:eastAsia="Calibri"/>
                <w:bCs/>
                <w:sz w:val="22"/>
              </w:rPr>
              <w:t>troška na koji se odnosi</w:t>
            </w:r>
          </w:p>
          <w:p w14:paraId="5577488E" w14:textId="77777777" w:rsidR="00D0103E" w:rsidRPr="004E1F42" w:rsidRDefault="00D0103E" w:rsidP="00306843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bCs/>
                <w:sz w:val="22"/>
              </w:rPr>
              <w:t xml:space="preserve">Mogućnost smanjenja </w:t>
            </w:r>
            <w:r w:rsidR="00DD4888" w:rsidRPr="004E1F42">
              <w:rPr>
                <w:rFonts w:eastAsia="Calibri"/>
                <w:bCs/>
                <w:sz w:val="22"/>
              </w:rPr>
              <w:t xml:space="preserve">na 25% </w:t>
            </w:r>
            <w:r w:rsidRPr="004E1F42">
              <w:rPr>
                <w:rFonts w:eastAsia="Calibri"/>
                <w:bCs/>
                <w:sz w:val="22"/>
              </w:rPr>
              <w:t>nakon procjene značaja i utjecaja nepravilnosti</w:t>
            </w:r>
          </w:p>
        </w:tc>
      </w:tr>
      <w:tr w:rsidR="004A5760" w:rsidRPr="004A5760" w14:paraId="38366503" w14:textId="77777777" w:rsidTr="000D3046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C5C6" w14:textId="77777777" w:rsidR="00D0103E" w:rsidRPr="004E1F42" w:rsidRDefault="00D0103E" w:rsidP="00D0103E">
            <w:pPr>
              <w:spacing w:before="0" w:after="0"/>
              <w:ind w:left="720"/>
              <w:jc w:val="both"/>
              <w:rPr>
                <w:rFonts w:ascii="Times New Roman" w:eastAsia="Calibri" w:hAnsi="Times New Roman" w:cs="Times New Roman"/>
              </w:rPr>
            </w:pPr>
          </w:p>
          <w:p w14:paraId="08173DCF" w14:textId="2BBAF0A4" w:rsidR="00D0103E" w:rsidRPr="004E1F42" w:rsidRDefault="000D3046" w:rsidP="00974C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3</w:t>
            </w:r>
            <w:r w:rsidR="00D0103E" w:rsidRPr="004E1F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F1DB" w14:textId="77777777" w:rsidR="00D0103E" w:rsidRPr="004E1F42" w:rsidRDefault="00D0103E" w:rsidP="000D3046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 xml:space="preserve">Ne primjenjuju se zahtjevi informiranja i vidljivosti 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5F95" w14:textId="77777777" w:rsidR="00D0103E" w:rsidRPr="004E1F42" w:rsidRDefault="00D0103E" w:rsidP="000D3046">
            <w:pPr>
              <w:pStyle w:val="Bezproreda"/>
              <w:rPr>
                <w:rFonts w:eastAsia="Calibri"/>
                <w:sz w:val="22"/>
                <w:lang w:eastAsia="ar-SA"/>
              </w:rPr>
            </w:pPr>
            <w:r w:rsidRPr="004E1F42">
              <w:rPr>
                <w:rFonts w:eastAsia="Calibri"/>
                <w:sz w:val="22"/>
                <w:lang w:eastAsia="ar-SA"/>
              </w:rPr>
              <w:t>Nepravilnosti povezene s povredom pravila vezanih uz mjere informiranja i komunikacije:</w:t>
            </w:r>
          </w:p>
          <w:p w14:paraId="35E08D67" w14:textId="77777777" w:rsidR="000D3046" w:rsidRPr="004E1F42" w:rsidRDefault="000D3046" w:rsidP="000D3046">
            <w:pPr>
              <w:pStyle w:val="Bezproreda"/>
              <w:rPr>
                <w:rFonts w:eastAsia="Calibri"/>
                <w:sz w:val="22"/>
                <w:lang w:eastAsia="ar-SA"/>
              </w:rPr>
            </w:pPr>
            <w:r w:rsidRPr="004E1F42">
              <w:rPr>
                <w:rFonts w:eastAsia="Calibri"/>
                <w:sz w:val="22"/>
                <w:lang w:eastAsia="ar-SA"/>
              </w:rPr>
              <w:t xml:space="preserve">1. </w:t>
            </w:r>
            <w:r w:rsidR="00D0103E" w:rsidRPr="004E1F42">
              <w:rPr>
                <w:rFonts w:eastAsia="Calibri"/>
                <w:sz w:val="22"/>
                <w:lang w:eastAsia="ar-SA"/>
              </w:rPr>
              <w:t>Nepostojanje propisanog osnovnog elemenata vidljivosti  kod promidžbenih materijala ili pripreme i prove</w:t>
            </w:r>
            <w:r w:rsidRPr="004E1F42">
              <w:rPr>
                <w:rFonts w:eastAsia="Calibri"/>
                <w:sz w:val="22"/>
                <w:lang w:eastAsia="ar-SA"/>
              </w:rPr>
              <w:t>dbe komunikacijskih aktivnosti</w:t>
            </w:r>
          </w:p>
          <w:p w14:paraId="35D33798" w14:textId="0E81FA82" w:rsidR="00D0103E" w:rsidRPr="004E1F42" w:rsidRDefault="000D3046" w:rsidP="000D3046">
            <w:pPr>
              <w:pStyle w:val="Bezproreda"/>
              <w:rPr>
                <w:rFonts w:eastAsia="Calibri"/>
                <w:sz w:val="22"/>
                <w:lang w:eastAsia="ar-SA"/>
              </w:rPr>
            </w:pPr>
            <w:r w:rsidRPr="004E1F42">
              <w:rPr>
                <w:rFonts w:eastAsia="Calibri"/>
                <w:sz w:val="22"/>
                <w:lang w:eastAsia="ar-SA"/>
              </w:rPr>
              <w:t xml:space="preserve">2. </w:t>
            </w:r>
            <w:r w:rsidR="00D0103E" w:rsidRPr="004E1F42">
              <w:rPr>
                <w:rFonts w:eastAsia="Calibri"/>
                <w:sz w:val="22"/>
                <w:lang w:eastAsia="ar-SA"/>
              </w:rPr>
              <w:t xml:space="preserve">Djelomično korištenje </w:t>
            </w:r>
            <w:r w:rsidR="007A17E9" w:rsidRPr="004E1F42">
              <w:rPr>
                <w:rFonts w:eastAsia="Calibri"/>
                <w:sz w:val="22"/>
                <w:lang w:eastAsia="ar-SA"/>
              </w:rPr>
              <w:t>dodatnih</w:t>
            </w:r>
            <w:r w:rsidR="00D0103E" w:rsidRPr="004E1F42">
              <w:rPr>
                <w:rFonts w:eastAsia="Calibri"/>
                <w:sz w:val="22"/>
                <w:lang w:eastAsia="ar-SA"/>
              </w:rPr>
              <w:t xml:space="preserve"> elemenata vidljivosti“ </w:t>
            </w:r>
          </w:p>
          <w:p w14:paraId="761C454F" w14:textId="76E72997" w:rsidR="00D0103E" w:rsidRPr="004E1F42" w:rsidRDefault="000D3046" w:rsidP="000D3046">
            <w:pPr>
              <w:pStyle w:val="Bezproreda"/>
              <w:rPr>
                <w:rFonts w:eastAsia="Calibri"/>
                <w:sz w:val="22"/>
                <w:lang w:eastAsia="ar-SA"/>
              </w:rPr>
            </w:pPr>
            <w:r w:rsidRPr="004E1F42">
              <w:rPr>
                <w:rFonts w:eastAsia="Calibri"/>
                <w:sz w:val="22"/>
                <w:lang w:eastAsia="ar-SA"/>
              </w:rPr>
              <w:t xml:space="preserve">3. </w:t>
            </w:r>
            <w:r w:rsidR="00D0103E" w:rsidRPr="004E1F42">
              <w:rPr>
                <w:rFonts w:eastAsia="Calibri"/>
                <w:sz w:val="22"/>
                <w:lang w:eastAsia="ar-SA"/>
              </w:rPr>
              <w:t xml:space="preserve">Neprovođenje i nekorištenje komunikacijskih alata te neprovođenje komunikacijskih aktivnosti na koje se korisnik obvezao ili je dužan provoditi (u slučaju postojanja internetske stranice korisnika ili privremene informacijske ploče ili trajne ploče/panoa) 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216B" w14:textId="0A013ACC" w:rsidR="000D3046" w:rsidRPr="004E1F42" w:rsidRDefault="00FF2843" w:rsidP="000D3046">
            <w:pPr>
              <w:pStyle w:val="Bezproreda"/>
              <w:rPr>
                <w:sz w:val="22"/>
              </w:rPr>
            </w:pPr>
            <w:r w:rsidRPr="004E1F42">
              <w:rPr>
                <w:sz w:val="22"/>
              </w:rPr>
              <w:t xml:space="preserve">2% </w:t>
            </w:r>
            <w:r w:rsidR="000D3046" w:rsidRPr="004E1F42">
              <w:rPr>
                <w:sz w:val="22"/>
              </w:rPr>
              <w:t>od iz</w:t>
            </w:r>
            <w:r w:rsidR="00FA3942" w:rsidRPr="004E1F42">
              <w:rPr>
                <w:sz w:val="22"/>
              </w:rPr>
              <w:t>n</w:t>
            </w:r>
            <w:r w:rsidR="000D3046" w:rsidRPr="004E1F42">
              <w:rPr>
                <w:sz w:val="22"/>
              </w:rPr>
              <w:t xml:space="preserve">osa dodijeljenih posebnih sredstava </w:t>
            </w:r>
          </w:p>
          <w:p w14:paraId="65D703AC" w14:textId="77777777" w:rsidR="000D3046" w:rsidRPr="004E1F42" w:rsidRDefault="000D3046" w:rsidP="000D3046">
            <w:pPr>
              <w:pStyle w:val="Bezproreda"/>
              <w:rPr>
                <w:sz w:val="22"/>
              </w:rPr>
            </w:pPr>
          </w:p>
          <w:p w14:paraId="359BE1E9" w14:textId="5A11D79D" w:rsidR="000D3046" w:rsidRPr="004E1F42" w:rsidRDefault="000D3046" w:rsidP="00FF2843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sz w:val="22"/>
              </w:rPr>
              <w:t xml:space="preserve">Korekcija se može umanjiti na </w:t>
            </w:r>
            <w:r w:rsidR="00FF2843" w:rsidRPr="004E1F42">
              <w:rPr>
                <w:sz w:val="22"/>
              </w:rPr>
              <w:t>1</w:t>
            </w:r>
            <w:r w:rsidRPr="004E1F42">
              <w:rPr>
                <w:sz w:val="22"/>
              </w:rPr>
              <w:t xml:space="preserve">% ili </w:t>
            </w:r>
            <w:r w:rsidR="0005569A" w:rsidRPr="004E1F42">
              <w:rPr>
                <w:sz w:val="22"/>
              </w:rPr>
              <w:t>0,</w:t>
            </w:r>
            <w:r w:rsidR="00FF2843" w:rsidRPr="004E1F42">
              <w:rPr>
                <w:sz w:val="22"/>
              </w:rPr>
              <w:t>5</w:t>
            </w:r>
            <w:r w:rsidRPr="004E1F42">
              <w:rPr>
                <w:sz w:val="22"/>
              </w:rPr>
              <w:t>% ovisno o ozbiljnosti nepravilnosti</w:t>
            </w:r>
          </w:p>
        </w:tc>
      </w:tr>
      <w:tr w:rsidR="004A5760" w:rsidRPr="004A5760" w14:paraId="54F932A9" w14:textId="77777777" w:rsidTr="00306843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F4DD" w14:textId="75D63575" w:rsidR="00D0103E" w:rsidRPr="004E1F42" w:rsidRDefault="0005569A" w:rsidP="00974C5D">
            <w:pPr>
              <w:spacing w:before="0" w:after="0"/>
              <w:jc w:val="center"/>
              <w:rPr>
                <w:rFonts w:ascii="Times New Roman" w:eastAsia="Calibri" w:hAnsi="Times New Roman" w:cs="Times New Roman"/>
              </w:rPr>
            </w:pPr>
            <w:r w:rsidRPr="004E1F42">
              <w:rPr>
                <w:rFonts w:ascii="Times New Roman" w:eastAsia="Calibri" w:hAnsi="Times New Roman" w:cs="Times New Roman"/>
              </w:rPr>
              <w:t>4</w:t>
            </w:r>
            <w:r w:rsidR="00D0103E" w:rsidRPr="004E1F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94C9" w14:textId="77777777" w:rsidR="00D0103E" w:rsidRPr="004E1F42" w:rsidRDefault="00D0103E" w:rsidP="0005569A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 xml:space="preserve">Dvostruko financiranje 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95F9" w14:textId="49FDD60F" w:rsidR="00D0103E" w:rsidRPr="004E1F42" w:rsidRDefault="00774610" w:rsidP="0005569A">
            <w:pPr>
              <w:pStyle w:val="Bezproreda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Projekt</w:t>
            </w:r>
            <w:r w:rsidR="00F9181B" w:rsidRPr="004E1F42">
              <w:rPr>
                <w:sz w:val="22"/>
                <w:lang w:eastAsia="ar-SA"/>
              </w:rPr>
              <w:t xml:space="preserve"> ili dio </w:t>
            </w:r>
            <w:r>
              <w:rPr>
                <w:sz w:val="22"/>
                <w:lang w:eastAsia="ar-SA"/>
              </w:rPr>
              <w:t>projekta</w:t>
            </w:r>
            <w:r w:rsidR="00F9181B" w:rsidRPr="004E1F42">
              <w:rPr>
                <w:sz w:val="22"/>
                <w:lang w:eastAsia="ar-SA"/>
              </w:rPr>
              <w:t xml:space="preserve"> je “dvostruko financiran” tj. financira</w:t>
            </w:r>
            <w:r w:rsidR="0005569A" w:rsidRPr="004E1F42">
              <w:rPr>
                <w:sz w:val="22"/>
                <w:lang w:eastAsia="ar-SA"/>
              </w:rPr>
              <w:t>n</w:t>
            </w:r>
            <w:r w:rsidR="00D0103E" w:rsidRPr="004E1F42">
              <w:rPr>
                <w:sz w:val="22"/>
                <w:lang w:eastAsia="ar-SA"/>
              </w:rPr>
              <w:t xml:space="preserve"> je i iz drugih izvora. Iznos koji je dvostruko financiran se isključuje iz prihvatljivih izdataka</w:t>
            </w:r>
          </w:p>
          <w:p w14:paraId="29AD38B7" w14:textId="77777777" w:rsidR="00D0103E" w:rsidRPr="004E1F42" w:rsidRDefault="00D0103E" w:rsidP="0005569A">
            <w:pPr>
              <w:pStyle w:val="Bezproreda"/>
              <w:rPr>
                <w:sz w:val="22"/>
                <w:lang w:eastAsia="ar-SA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945A" w14:textId="77777777" w:rsidR="00D0103E" w:rsidRPr="004E1F42" w:rsidRDefault="00D0103E" w:rsidP="0005569A">
            <w:pPr>
              <w:pStyle w:val="Bezproreda"/>
              <w:rPr>
                <w:rFonts w:eastAsia="Calibri"/>
                <w:sz w:val="22"/>
              </w:rPr>
            </w:pPr>
            <w:r w:rsidRPr="004E1F42">
              <w:rPr>
                <w:rFonts w:eastAsia="Calibri"/>
                <w:sz w:val="22"/>
              </w:rPr>
              <w:t>Pojedinačno izračunata korekcija</w:t>
            </w:r>
          </w:p>
        </w:tc>
      </w:tr>
    </w:tbl>
    <w:p w14:paraId="31998BDA" w14:textId="77777777" w:rsidR="0056094F" w:rsidRPr="00616464" w:rsidRDefault="0056094F" w:rsidP="0070799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6094F" w:rsidRPr="00616464" w:rsidSect="00D33D35">
      <w:footerReference w:type="default" r:id="rId8"/>
      <w:headerReference w:type="first" r:id="rId9"/>
      <w:footerReference w:type="first" r:id="rId10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0741A" w14:textId="77777777" w:rsidR="00795DD3" w:rsidRDefault="00795DD3" w:rsidP="0056094F">
      <w:pPr>
        <w:spacing w:before="0" w:after="0"/>
      </w:pPr>
      <w:r>
        <w:separator/>
      </w:r>
    </w:p>
  </w:endnote>
  <w:endnote w:type="continuationSeparator" w:id="0">
    <w:p w14:paraId="783A7964" w14:textId="77777777" w:rsidR="00795DD3" w:rsidRDefault="00795DD3" w:rsidP="005609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589105"/>
      <w:docPartObj>
        <w:docPartGallery w:val="Page Numbers (Bottom of Page)"/>
        <w:docPartUnique/>
      </w:docPartObj>
    </w:sdtPr>
    <w:sdtEndPr/>
    <w:sdtContent>
      <w:p w14:paraId="72927F9B" w14:textId="323EA3E9" w:rsidR="00616464" w:rsidRDefault="00616464">
        <w:pPr>
          <w:pStyle w:val="Podnoje"/>
          <w:jc w:val="right"/>
        </w:pPr>
        <w:r w:rsidRPr="00616464">
          <w:rPr>
            <w:rFonts w:ascii="Times New Roman" w:hAnsi="Times New Roman" w:cs="Times New Roman"/>
            <w:sz w:val="20"/>
          </w:rPr>
          <w:fldChar w:fldCharType="begin"/>
        </w:r>
        <w:r w:rsidRPr="00616464">
          <w:rPr>
            <w:rFonts w:ascii="Times New Roman" w:hAnsi="Times New Roman" w:cs="Times New Roman"/>
            <w:sz w:val="20"/>
          </w:rPr>
          <w:instrText>PAGE   \* MERGEFORMAT</w:instrText>
        </w:r>
        <w:r w:rsidRPr="00616464">
          <w:rPr>
            <w:rFonts w:ascii="Times New Roman" w:hAnsi="Times New Roman" w:cs="Times New Roman"/>
            <w:sz w:val="20"/>
          </w:rPr>
          <w:fldChar w:fldCharType="separate"/>
        </w:r>
        <w:r w:rsidR="00684D16">
          <w:rPr>
            <w:rFonts w:ascii="Times New Roman" w:hAnsi="Times New Roman" w:cs="Times New Roman"/>
            <w:noProof/>
            <w:sz w:val="20"/>
          </w:rPr>
          <w:t>12</w:t>
        </w:r>
        <w:r w:rsidRPr="0061646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6ADB72D" w14:textId="77777777" w:rsidR="00616464" w:rsidRDefault="0061646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4459028"/>
      <w:docPartObj>
        <w:docPartGallery w:val="Page Numbers (Bottom of Page)"/>
        <w:docPartUnique/>
      </w:docPartObj>
    </w:sdtPr>
    <w:sdtEndPr/>
    <w:sdtContent>
      <w:p w14:paraId="64BD53D7" w14:textId="7867DD8C" w:rsidR="00D33D35" w:rsidRDefault="00D33D35">
        <w:pPr>
          <w:pStyle w:val="Podnoje"/>
          <w:jc w:val="right"/>
        </w:pPr>
        <w:r w:rsidRPr="00D33D35">
          <w:rPr>
            <w:rFonts w:ascii="Times New Roman" w:hAnsi="Times New Roman" w:cs="Times New Roman"/>
            <w:sz w:val="20"/>
          </w:rPr>
          <w:fldChar w:fldCharType="begin"/>
        </w:r>
        <w:r w:rsidRPr="00D33D35">
          <w:rPr>
            <w:rFonts w:ascii="Times New Roman" w:hAnsi="Times New Roman" w:cs="Times New Roman"/>
            <w:sz w:val="20"/>
          </w:rPr>
          <w:instrText>PAGE   \* MERGEFORMAT</w:instrText>
        </w:r>
        <w:r w:rsidRPr="00D33D35">
          <w:rPr>
            <w:rFonts w:ascii="Times New Roman" w:hAnsi="Times New Roman" w:cs="Times New Roman"/>
            <w:sz w:val="20"/>
          </w:rPr>
          <w:fldChar w:fldCharType="separate"/>
        </w:r>
        <w:r w:rsidR="00684D16">
          <w:rPr>
            <w:rFonts w:ascii="Times New Roman" w:hAnsi="Times New Roman" w:cs="Times New Roman"/>
            <w:noProof/>
            <w:sz w:val="20"/>
          </w:rPr>
          <w:t>1</w:t>
        </w:r>
        <w:r w:rsidRPr="00D33D35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125FC828" w14:textId="77777777" w:rsidR="00D33D35" w:rsidRDefault="00D33D3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D5591" w14:textId="77777777" w:rsidR="00795DD3" w:rsidRDefault="00795DD3" w:rsidP="0056094F">
      <w:pPr>
        <w:spacing w:before="0" w:after="0"/>
      </w:pPr>
      <w:r>
        <w:separator/>
      </w:r>
    </w:p>
  </w:footnote>
  <w:footnote w:type="continuationSeparator" w:id="0">
    <w:p w14:paraId="09BFD101" w14:textId="77777777" w:rsidR="00795DD3" w:rsidRDefault="00795DD3" w:rsidP="0056094F">
      <w:pPr>
        <w:spacing w:before="0" w:after="0"/>
      </w:pPr>
      <w:r>
        <w:continuationSeparator/>
      </w:r>
    </w:p>
  </w:footnote>
  <w:footnote w:id="1">
    <w:p w14:paraId="30D456D6" w14:textId="77777777" w:rsidR="00616464" w:rsidRPr="00310F62" w:rsidRDefault="00616464" w:rsidP="00D0103E">
      <w:pPr>
        <w:pStyle w:val="Tekstfusnote"/>
        <w:rPr>
          <w:lang w:val="hr-HR"/>
        </w:rPr>
      </w:pPr>
      <w:r w:rsidRPr="00310F62">
        <w:rPr>
          <w:rStyle w:val="Referencafusnote"/>
        </w:rPr>
        <w:footnoteRef/>
      </w:r>
      <w:r w:rsidRPr="00310F62">
        <w:t xml:space="preserve"> </w:t>
      </w:r>
      <w:r w:rsidRPr="00310F62">
        <w:rPr>
          <w:lang w:val="hr-HR"/>
        </w:rPr>
        <w:t>Rabi se i pojam „financijska ispravka“.</w:t>
      </w:r>
    </w:p>
  </w:footnote>
  <w:footnote w:id="2">
    <w:p w14:paraId="7788E993" w14:textId="77777777" w:rsidR="00616464" w:rsidRPr="00C4593D" w:rsidRDefault="00616464" w:rsidP="00664FD3">
      <w:pPr>
        <w:pStyle w:val="Tekstfusnote"/>
        <w:jc w:val="both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Gospodarski subjekti</w:t>
      </w:r>
      <w:r w:rsidRPr="00C4593D">
        <w:rPr>
          <w:lang w:val="hr-HR"/>
        </w:rPr>
        <w:t xml:space="preserve"> koje su obvez</w:t>
      </w:r>
      <w:r>
        <w:rPr>
          <w:lang w:val="hr-HR"/>
        </w:rPr>
        <w:t>ni</w:t>
      </w:r>
      <w:r w:rsidRPr="00C4593D">
        <w:rPr>
          <w:lang w:val="hr-HR"/>
        </w:rPr>
        <w:t xml:space="preserve"> primjenjivati Zakon o javnoj nabavi </w:t>
      </w:r>
      <w:r>
        <w:rPr>
          <w:lang w:val="hr-HR"/>
        </w:rPr>
        <w:t>i</w:t>
      </w:r>
      <w:r w:rsidRPr="00C4593D">
        <w:rPr>
          <w:lang w:val="hr-HR"/>
        </w:rPr>
        <w:t xml:space="preserve"> </w:t>
      </w:r>
      <w:proofErr w:type="spellStart"/>
      <w:r w:rsidRPr="00C4593D">
        <w:rPr>
          <w:lang w:val="hr-HR"/>
        </w:rPr>
        <w:t>podzakonske</w:t>
      </w:r>
      <w:proofErr w:type="spellEnd"/>
      <w:r w:rsidRPr="00C4593D">
        <w:rPr>
          <w:lang w:val="hr-HR"/>
        </w:rPr>
        <w:t xml:space="preserve"> akte donesene na temelju tog zakona.</w:t>
      </w:r>
      <w:r>
        <w:rPr>
          <w:lang w:val="hr-HR"/>
        </w:rPr>
        <w:t xml:space="preserve"> </w:t>
      </w:r>
    </w:p>
  </w:footnote>
  <w:footnote w:id="3">
    <w:p w14:paraId="6F6E67D9" w14:textId="77777777" w:rsidR="00320B4A" w:rsidRPr="00DF2800" w:rsidRDefault="00320B4A" w:rsidP="00664FD3">
      <w:pPr>
        <w:pStyle w:val="Tekstfusnote"/>
        <w:jc w:val="both"/>
        <w:rPr>
          <w:lang w:val="hr-HR"/>
        </w:rPr>
      </w:pPr>
      <w:r w:rsidRPr="004C1A12">
        <w:rPr>
          <w:rStyle w:val="Referencafusnote"/>
        </w:rPr>
        <w:footnoteRef/>
      </w:r>
      <w:r w:rsidRPr="004C1A12">
        <w:t xml:space="preserve"> </w:t>
      </w:r>
      <w:r w:rsidRPr="004C1A12">
        <w:rPr>
          <w:color w:val="212121"/>
          <w:lang w:val="hr-HR" w:eastAsia="hr-HR"/>
        </w:rPr>
        <w:t>Financijska korekcija</w:t>
      </w:r>
      <w:r w:rsidRPr="004C1A12">
        <w:rPr>
          <w:color w:val="212121"/>
          <w:lang w:eastAsia="hr-HR"/>
        </w:rPr>
        <w:t xml:space="preserve"> se </w:t>
      </w:r>
      <w:r w:rsidRPr="004C1A12">
        <w:rPr>
          <w:color w:val="212121"/>
          <w:lang w:val="hr-HR" w:eastAsia="hr-HR"/>
        </w:rPr>
        <w:t>primjenjuje na ukupni iznos svih ugovora koji su umjetno podijeljeni.</w:t>
      </w:r>
    </w:p>
  </w:footnote>
  <w:footnote w:id="4">
    <w:p w14:paraId="4C09BFBB" w14:textId="112BBB9C" w:rsidR="00871B2A" w:rsidRPr="004C1A12" w:rsidRDefault="00871B2A" w:rsidP="00664FD3">
      <w:pPr>
        <w:pStyle w:val="Tekstfusnote"/>
        <w:jc w:val="both"/>
        <w:rPr>
          <w:lang w:val="hr-HR"/>
        </w:rPr>
      </w:pPr>
      <w:r w:rsidRPr="004C1A12">
        <w:rPr>
          <w:rStyle w:val="Referencafusnote"/>
          <w:lang w:val="hr-HR"/>
        </w:rPr>
        <w:footnoteRef/>
      </w:r>
      <w:r w:rsidRPr="004C1A12">
        <w:rPr>
          <w:lang w:val="hr-HR"/>
        </w:rPr>
        <w:t xml:space="preserve"> </w:t>
      </w:r>
      <w:r w:rsidR="00664FD3">
        <w:rPr>
          <w:lang w:val="hr-HR"/>
        </w:rPr>
        <w:t xml:space="preserve">Pravila o provedbi postupka nabave za </w:t>
      </w:r>
      <w:proofErr w:type="spellStart"/>
      <w:r w:rsidR="00664FD3">
        <w:rPr>
          <w:lang w:val="hr-HR"/>
        </w:rPr>
        <w:t>neobveznike</w:t>
      </w:r>
      <w:proofErr w:type="spellEnd"/>
      <w:r w:rsidR="00664FD3">
        <w:rPr>
          <w:lang w:val="hr-HR"/>
        </w:rPr>
        <w:t xml:space="preserve"> Zakona o javnoj nabavi objavljuju se uz tekstove javnih natječaja za dodjelu posebnih za razvoj novih tehnologija i poslovnih procesa u cilju zapošljavanja i održavanja zaposlenosti u zaštitnim ili integrativnim radionicama</w:t>
      </w:r>
      <w:r>
        <w:rPr>
          <w:lang w:val="hr-HR"/>
        </w:rPr>
        <w:t>.</w:t>
      </w:r>
    </w:p>
  </w:footnote>
  <w:footnote w:id="5">
    <w:p w14:paraId="162771DB" w14:textId="77777777" w:rsidR="00214BA2" w:rsidRPr="000266C6" w:rsidRDefault="00214BA2" w:rsidP="00C95A8D">
      <w:pPr>
        <w:pStyle w:val="Tekstfusnote"/>
      </w:pPr>
      <w:r w:rsidRPr="004C1A12">
        <w:rPr>
          <w:rStyle w:val="Referencafusnote"/>
          <w:lang w:val="hr-HR"/>
        </w:rPr>
        <w:footnoteRef/>
      </w:r>
      <w:r w:rsidRPr="004C1A12">
        <w:rPr>
          <w:lang w:val="hr-HR"/>
        </w:rPr>
        <w:t xml:space="preserve"> </w:t>
      </w:r>
      <w:r w:rsidRPr="004C1A12">
        <w:rPr>
          <w:color w:val="212121"/>
          <w:lang w:val="hr-HR" w:eastAsia="hr-HR"/>
        </w:rPr>
        <w:t>Financijska korekcija se primjenjuje na ukupni iznos svih ugovora koji su umjetno podijeljeni.</w:t>
      </w:r>
    </w:p>
  </w:footnote>
  <w:footnote w:id="6">
    <w:p w14:paraId="125C5CE3" w14:textId="77777777" w:rsidR="00616464" w:rsidRPr="0098227B" w:rsidRDefault="00616464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 xml:space="preserve">Primjenjuje se na obveznike i </w:t>
      </w:r>
      <w:proofErr w:type="spellStart"/>
      <w:r>
        <w:rPr>
          <w:lang w:val="hr-HR"/>
        </w:rPr>
        <w:t>neobveznike</w:t>
      </w:r>
      <w:proofErr w:type="spellEnd"/>
      <w:r>
        <w:rPr>
          <w:lang w:val="hr-HR"/>
        </w:rPr>
        <w:t xml:space="preserve"> Zakona o javnoj nabavi.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E5EA3" w14:textId="0BB90FE4" w:rsidR="00D33D35" w:rsidRDefault="00D33D35">
    <w:pPr>
      <w:pStyle w:val="Zaglavlje"/>
    </w:pPr>
    <w:r w:rsidRPr="008A0776">
      <w:rPr>
        <w:rFonts w:ascii="Arial" w:hAnsi="Arial" w:cs="Arial"/>
        <w:b/>
        <w:noProof/>
        <w:lang w:eastAsia="hr-HR"/>
      </w:rPr>
      <w:drawing>
        <wp:inline distT="0" distB="0" distL="0" distR="0" wp14:anchorId="55A35D24" wp14:editId="77391A92">
          <wp:extent cx="2124075" cy="1114425"/>
          <wp:effectExtent l="0" t="0" r="9525" b="9525"/>
          <wp:docPr id="1" name="Slika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A06FB"/>
    <w:multiLevelType w:val="hybridMultilevel"/>
    <w:tmpl w:val="E91EDDF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A1027"/>
    <w:multiLevelType w:val="hybridMultilevel"/>
    <w:tmpl w:val="9A124FCA"/>
    <w:lvl w:ilvl="0" w:tplc="2A4AD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0D55"/>
    <w:multiLevelType w:val="hybridMultilevel"/>
    <w:tmpl w:val="548A90A0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0A6F"/>
    <w:multiLevelType w:val="hybridMultilevel"/>
    <w:tmpl w:val="DB806204"/>
    <w:lvl w:ilvl="0" w:tplc="1254A308">
      <w:start w:val="1"/>
      <w:numFmt w:val="lowerLetter"/>
      <w:lvlText w:val="(%1)"/>
      <w:lvlJc w:val="left"/>
      <w:pPr>
        <w:ind w:left="39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472CF"/>
    <w:multiLevelType w:val="hybridMultilevel"/>
    <w:tmpl w:val="5E263978"/>
    <w:lvl w:ilvl="0" w:tplc="491299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AC0BAE"/>
    <w:multiLevelType w:val="hybridMultilevel"/>
    <w:tmpl w:val="71343E4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715A4"/>
    <w:multiLevelType w:val="hybridMultilevel"/>
    <w:tmpl w:val="60AC15AC"/>
    <w:lvl w:ilvl="0" w:tplc="5D589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A4886"/>
    <w:multiLevelType w:val="hybridMultilevel"/>
    <w:tmpl w:val="4BC8956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B2726800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545390"/>
    <w:multiLevelType w:val="hybridMultilevel"/>
    <w:tmpl w:val="04B60C30"/>
    <w:lvl w:ilvl="0" w:tplc="491299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6E2C7A"/>
    <w:multiLevelType w:val="hybridMultilevel"/>
    <w:tmpl w:val="1F820C32"/>
    <w:lvl w:ilvl="0" w:tplc="8438DF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B4756"/>
    <w:multiLevelType w:val="multilevel"/>
    <w:tmpl w:val="EAEE4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A9B3951"/>
    <w:multiLevelType w:val="hybridMultilevel"/>
    <w:tmpl w:val="48D69306"/>
    <w:lvl w:ilvl="0" w:tplc="491299D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45DA0"/>
    <w:multiLevelType w:val="hybridMultilevel"/>
    <w:tmpl w:val="24648BBE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C6D55"/>
    <w:multiLevelType w:val="hybridMultilevel"/>
    <w:tmpl w:val="4DBC980C"/>
    <w:lvl w:ilvl="0" w:tplc="2A4AD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116D7"/>
    <w:multiLevelType w:val="hybridMultilevel"/>
    <w:tmpl w:val="BDC48D64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E5420"/>
    <w:multiLevelType w:val="hybridMultilevel"/>
    <w:tmpl w:val="6B7A9E76"/>
    <w:lvl w:ilvl="0" w:tplc="7F84911C">
      <w:start w:val="1"/>
      <w:numFmt w:val="upperRoman"/>
      <w:lvlText w:val="%1."/>
      <w:lvlJc w:val="left"/>
      <w:pPr>
        <w:ind w:left="720" w:hanging="72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D250F9"/>
    <w:multiLevelType w:val="hybridMultilevel"/>
    <w:tmpl w:val="70307AEA"/>
    <w:lvl w:ilvl="0" w:tplc="2A4AD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B0D0C"/>
    <w:multiLevelType w:val="hybridMultilevel"/>
    <w:tmpl w:val="6B7E1B26"/>
    <w:lvl w:ilvl="0" w:tplc="491299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301AE5"/>
    <w:multiLevelType w:val="hybridMultilevel"/>
    <w:tmpl w:val="FBF455C6"/>
    <w:lvl w:ilvl="0" w:tplc="49129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E2D831FC">
      <w:start w:val="1"/>
      <w:numFmt w:val="decimal"/>
      <w:lvlText w:val="(%3)"/>
      <w:lvlJc w:val="left"/>
      <w:pPr>
        <w:ind w:left="3270" w:hanging="57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482987"/>
    <w:multiLevelType w:val="hybridMultilevel"/>
    <w:tmpl w:val="AA46F0A8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299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C5307"/>
    <w:multiLevelType w:val="hybridMultilevel"/>
    <w:tmpl w:val="ECAC1B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50175"/>
    <w:multiLevelType w:val="hybridMultilevel"/>
    <w:tmpl w:val="1150AC18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31DD3"/>
    <w:multiLevelType w:val="hybridMultilevel"/>
    <w:tmpl w:val="BDC48798"/>
    <w:lvl w:ilvl="0" w:tplc="491299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284885"/>
    <w:multiLevelType w:val="hybridMultilevel"/>
    <w:tmpl w:val="B2EA4326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3D34713"/>
    <w:multiLevelType w:val="hybridMultilevel"/>
    <w:tmpl w:val="D1228CD0"/>
    <w:lvl w:ilvl="0" w:tplc="2A4AD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72D5A"/>
    <w:multiLevelType w:val="hybridMultilevel"/>
    <w:tmpl w:val="C4EACA7A"/>
    <w:lvl w:ilvl="0" w:tplc="2A4AD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46AA4"/>
    <w:multiLevelType w:val="hybridMultilevel"/>
    <w:tmpl w:val="CB72808E"/>
    <w:lvl w:ilvl="0" w:tplc="491299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9"/>
  </w:num>
  <w:num w:numId="9">
    <w:abstractNumId w:val="12"/>
  </w:num>
  <w:num w:numId="10">
    <w:abstractNumId w:val="14"/>
  </w:num>
  <w:num w:numId="11">
    <w:abstractNumId w:val="26"/>
  </w:num>
  <w:num w:numId="12">
    <w:abstractNumId w:val="17"/>
  </w:num>
  <w:num w:numId="13">
    <w:abstractNumId w:val="21"/>
  </w:num>
  <w:num w:numId="14">
    <w:abstractNumId w:val="4"/>
  </w:num>
  <w:num w:numId="15">
    <w:abstractNumId w:val="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6"/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5"/>
  </w:num>
  <w:num w:numId="39">
    <w:abstractNumId w:val="3"/>
  </w:num>
  <w:num w:numId="40">
    <w:abstractNumId w:val="0"/>
  </w:num>
  <w:num w:numId="41">
    <w:abstractNumId w:val="1"/>
  </w:num>
  <w:num w:numId="42">
    <w:abstractNumId w:val="13"/>
  </w:num>
  <w:num w:numId="43">
    <w:abstractNumId w:val="24"/>
  </w:num>
  <w:num w:numId="44">
    <w:abstractNumId w:val="25"/>
  </w:num>
  <w:num w:numId="45">
    <w:abstractNumId w:val="16"/>
  </w:num>
  <w:num w:numId="46">
    <w:abstractNumId w:val="9"/>
  </w:num>
  <w:num w:numId="4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47"/>
    <w:rsid w:val="00000F0B"/>
    <w:rsid w:val="0000120E"/>
    <w:rsid w:val="00003D32"/>
    <w:rsid w:val="000045F9"/>
    <w:rsid w:val="000063E6"/>
    <w:rsid w:val="00013855"/>
    <w:rsid w:val="00015AD7"/>
    <w:rsid w:val="0001607A"/>
    <w:rsid w:val="000176AE"/>
    <w:rsid w:val="00017FEC"/>
    <w:rsid w:val="00021960"/>
    <w:rsid w:val="000251AB"/>
    <w:rsid w:val="0002541A"/>
    <w:rsid w:val="000266C6"/>
    <w:rsid w:val="0002727C"/>
    <w:rsid w:val="00031140"/>
    <w:rsid w:val="00031246"/>
    <w:rsid w:val="0003125D"/>
    <w:rsid w:val="000315D1"/>
    <w:rsid w:val="0003381C"/>
    <w:rsid w:val="0003463F"/>
    <w:rsid w:val="00036BA0"/>
    <w:rsid w:val="000372CE"/>
    <w:rsid w:val="000379A5"/>
    <w:rsid w:val="00037B00"/>
    <w:rsid w:val="00044131"/>
    <w:rsid w:val="00052ABF"/>
    <w:rsid w:val="0005398A"/>
    <w:rsid w:val="00054244"/>
    <w:rsid w:val="000542C1"/>
    <w:rsid w:val="000546D5"/>
    <w:rsid w:val="0005569A"/>
    <w:rsid w:val="00056604"/>
    <w:rsid w:val="00057D4C"/>
    <w:rsid w:val="0006093C"/>
    <w:rsid w:val="00060971"/>
    <w:rsid w:val="000668BB"/>
    <w:rsid w:val="000671DB"/>
    <w:rsid w:val="00075236"/>
    <w:rsid w:val="00080D88"/>
    <w:rsid w:val="000810E1"/>
    <w:rsid w:val="000867CC"/>
    <w:rsid w:val="00090BB6"/>
    <w:rsid w:val="00094A78"/>
    <w:rsid w:val="00094B1C"/>
    <w:rsid w:val="000955E4"/>
    <w:rsid w:val="000969D5"/>
    <w:rsid w:val="0009752A"/>
    <w:rsid w:val="00097884"/>
    <w:rsid w:val="000A238F"/>
    <w:rsid w:val="000A3393"/>
    <w:rsid w:val="000A79CD"/>
    <w:rsid w:val="000B2D92"/>
    <w:rsid w:val="000B2E3F"/>
    <w:rsid w:val="000B34DD"/>
    <w:rsid w:val="000B4ABA"/>
    <w:rsid w:val="000B5CEA"/>
    <w:rsid w:val="000B5E24"/>
    <w:rsid w:val="000B6995"/>
    <w:rsid w:val="000B7C77"/>
    <w:rsid w:val="000C118E"/>
    <w:rsid w:val="000C1CDA"/>
    <w:rsid w:val="000C1E37"/>
    <w:rsid w:val="000C2260"/>
    <w:rsid w:val="000C6786"/>
    <w:rsid w:val="000C6A53"/>
    <w:rsid w:val="000C75DB"/>
    <w:rsid w:val="000D3046"/>
    <w:rsid w:val="000D6013"/>
    <w:rsid w:val="000D73F2"/>
    <w:rsid w:val="000E09AC"/>
    <w:rsid w:val="000E45B1"/>
    <w:rsid w:val="000E4750"/>
    <w:rsid w:val="000E52F8"/>
    <w:rsid w:val="000E5690"/>
    <w:rsid w:val="000F2059"/>
    <w:rsid w:val="000F3159"/>
    <w:rsid w:val="000F6055"/>
    <w:rsid w:val="000F6325"/>
    <w:rsid w:val="000F6D00"/>
    <w:rsid w:val="000F7743"/>
    <w:rsid w:val="000F7D9E"/>
    <w:rsid w:val="00101335"/>
    <w:rsid w:val="00101A58"/>
    <w:rsid w:val="00111C7D"/>
    <w:rsid w:val="001136AB"/>
    <w:rsid w:val="00116131"/>
    <w:rsid w:val="001173AA"/>
    <w:rsid w:val="00123594"/>
    <w:rsid w:val="001261DB"/>
    <w:rsid w:val="0012710C"/>
    <w:rsid w:val="00130ACC"/>
    <w:rsid w:val="00131C9B"/>
    <w:rsid w:val="00133487"/>
    <w:rsid w:val="00133530"/>
    <w:rsid w:val="00136A4A"/>
    <w:rsid w:val="0013761D"/>
    <w:rsid w:val="0014425C"/>
    <w:rsid w:val="001453C8"/>
    <w:rsid w:val="0015415E"/>
    <w:rsid w:val="00154447"/>
    <w:rsid w:val="00155BB6"/>
    <w:rsid w:val="00155CC8"/>
    <w:rsid w:val="00160B72"/>
    <w:rsid w:val="001611D0"/>
    <w:rsid w:val="00161835"/>
    <w:rsid w:val="00161CDC"/>
    <w:rsid w:val="001651BC"/>
    <w:rsid w:val="00167FED"/>
    <w:rsid w:val="00170271"/>
    <w:rsid w:val="001714DE"/>
    <w:rsid w:val="00172E4E"/>
    <w:rsid w:val="001734AC"/>
    <w:rsid w:val="0017391E"/>
    <w:rsid w:val="00174FB3"/>
    <w:rsid w:val="001760E8"/>
    <w:rsid w:val="00180326"/>
    <w:rsid w:val="0018466C"/>
    <w:rsid w:val="001851B2"/>
    <w:rsid w:val="00186DAB"/>
    <w:rsid w:val="00187144"/>
    <w:rsid w:val="00190126"/>
    <w:rsid w:val="00192A1E"/>
    <w:rsid w:val="0019324F"/>
    <w:rsid w:val="001936E6"/>
    <w:rsid w:val="001A1280"/>
    <w:rsid w:val="001A1E98"/>
    <w:rsid w:val="001A430D"/>
    <w:rsid w:val="001A4D57"/>
    <w:rsid w:val="001A5011"/>
    <w:rsid w:val="001A6781"/>
    <w:rsid w:val="001B38C0"/>
    <w:rsid w:val="001B6D0B"/>
    <w:rsid w:val="001C21A2"/>
    <w:rsid w:val="001C22D9"/>
    <w:rsid w:val="001C32A2"/>
    <w:rsid w:val="001C4272"/>
    <w:rsid w:val="001C5BBA"/>
    <w:rsid w:val="001C72B3"/>
    <w:rsid w:val="001D0ADF"/>
    <w:rsid w:val="001D3D8E"/>
    <w:rsid w:val="001D5C61"/>
    <w:rsid w:val="001D5FA0"/>
    <w:rsid w:val="001E23F6"/>
    <w:rsid w:val="001E2F5D"/>
    <w:rsid w:val="001E41D8"/>
    <w:rsid w:val="001E5935"/>
    <w:rsid w:val="001E7474"/>
    <w:rsid w:val="001F0D36"/>
    <w:rsid w:val="001F10AB"/>
    <w:rsid w:val="001F5B1F"/>
    <w:rsid w:val="001F73B3"/>
    <w:rsid w:val="001F7A36"/>
    <w:rsid w:val="00204126"/>
    <w:rsid w:val="002052A6"/>
    <w:rsid w:val="002075B2"/>
    <w:rsid w:val="00214BA2"/>
    <w:rsid w:val="002156BE"/>
    <w:rsid w:val="0021580F"/>
    <w:rsid w:val="00215A9D"/>
    <w:rsid w:val="002169D3"/>
    <w:rsid w:val="00221421"/>
    <w:rsid w:val="00221692"/>
    <w:rsid w:val="00221CE8"/>
    <w:rsid w:val="00222FE2"/>
    <w:rsid w:val="00223A07"/>
    <w:rsid w:val="00223DD5"/>
    <w:rsid w:val="00224A15"/>
    <w:rsid w:val="00226D42"/>
    <w:rsid w:val="00226E51"/>
    <w:rsid w:val="00227A7B"/>
    <w:rsid w:val="0023679D"/>
    <w:rsid w:val="00237A98"/>
    <w:rsid w:val="00243BB2"/>
    <w:rsid w:val="00244B6F"/>
    <w:rsid w:val="00246B01"/>
    <w:rsid w:val="00247347"/>
    <w:rsid w:val="00250330"/>
    <w:rsid w:val="00252149"/>
    <w:rsid w:val="00252C5D"/>
    <w:rsid w:val="002537E5"/>
    <w:rsid w:val="00253ACA"/>
    <w:rsid w:val="00254F37"/>
    <w:rsid w:val="0025684F"/>
    <w:rsid w:val="00256861"/>
    <w:rsid w:val="002571DE"/>
    <w:rsid w:val="00257825"/>
    <w:rsid w:val="00263F6C"/>
    <w:rsid w:val="002653CF"/>
    <w:rsid w:val="00265E3A"/>
    <w:rsid w:val="00267E54"/>
    <w:rsid w:val="002718E8"/>
    <w:rsid w:val="002722AE"/>
    <w:rsid w:val="002733C7"/>
    <w:rsid w:val="00273CCF"/>
    <w:rsid w:val="002741B9"/>
    <w:rsid w:val="002749B9"/>
    <w:rsid w:val="00274EE7"/>
    <w:rsid w:val="00275517"/>
    <w:rsid w:val="00276937"/>
    <w:rsid w:val="00276E36"/>
    <w:rsid w:val="002770D8"/>
    <w:rsid w:val="00280AFB"/>
    <w:rsid w:val="002900FC"/>
    <w:rsid w:val="002906D5"/>
    <w:rsid w:val="0029778B"/>
    <w:rsid w:val="002A2135"/>
    <w:rsid w:val="002A266E"/>
    <w:rsid w:val="002A3780"/>
    <w:rsid w:val="002A39B6"/>
    <w:rsid w:val="002A5632"/>
    <w:rsid w:val="002B02D9"/>
    <w:rsid w:val="002B0792"/>
    <w:rsid w:val="002B2920"/>
    <w:rsid w:val="002B3B38"/>
    <w:rsid w:val="002B4CC5"/>
    <w:rsid w:val="002B6CC0"/>
    <w:rsid w:val="002B7AC7"/>
    <w:rsid w:val="002C01C6"/>
    <w:rsid w:val="002C2B77"/>
    <w:rsid w:val="002C321A"/>
    <w:rsid w:val="002C390F"/>
    <w:rsid w:val="002D212C"/>
    <w:rsid w:val="002D3824"/>
    <w:rsid w:val="002D4A89"/>
    <w:rsid w:val="002D52C1"/>
    <w:rsid w:val="002D6680"/>
    <w:rsid w:val="002D72D0"/>
    <w:rsid w:val="002D736F"/>
    <w:rsid w:val="002E0148"/>
    <w:rsid w:val="002E05A3"/>
    <w:rsid w:val="002E1168"/>
    <w:rsid w:val="002E32B1"/>
    <w:rsid w:val="002E35B9"/>
    <w:rsid w:val="002E3BF4"/>
    <w:rsid w:val="002E47CC"/>
    <w:rsid w:val="002E57EC"/>
    <w:rsid w:val="002E5E85"/>
    <w:rsid w:val="002F164A"/>
    <w:rsid w:val="002F2585"/>
    <w:rsid w:val="002F3E75"/>
    <w:rsid w:val="002F5186"/>
    <w:rsid w:val="002F5A35"/>
    <w:rsid w:val="002F6F1B"/>
    <w:rsid w:val="003020DE"/>
    <w:rsid w:val="00302BFE"/>
    <w:rsid w:val="00303A01"/>
    <w:rsid w:val="00306843"/>
    <w:rsid w:val="00307F46"/>
    <w:rsid w:val="00310F62"/>
    <w:rsid w:val="00313BB9"/>
    <w:rsid w:val="00314371"/>
    <w:rsid w:val="003146BD"/>
    <w:rsid w:val="003164BF"/>
    <w:rsid w:val="00316798"/>
    <w:rsid w:val="00320B4A"/>
    <w:rsid w:val="00321102"/>
    <w:rsid w:val="003234AF"/>
    <w:rsid w:val="00327007"/>
    <w:rsid w:val="003315BC"/>
    <w:rsid w:val="0033247C"/>
    <w:rsid w:val="00332832"/>
    <w:rsid w:val="0033533C"/>
    <w:rsid w:val="00335E8F"/>
    <w:rsid w:val="003365A6"/>
    <w:rsid w:val="003370F8"/>
    <w:rsid w:val="0033766E"/>
    <w:rsid w:val="00337B7A"/>
    <w:rsid w:val="003424F9"/>
    <w:rsid w:val="00344250"/>
    <w:rsid w:val="00346FFA"/>
    <w:rsid w:val="00347F16"/>
    <w:rsid w:val="00350C25"/>
    <w:rsid w:val="003519FE"/>
    <w:rsid w:val="0035222B"/>
    <w:rsid w:val="003532A7"/>
    <w:rsid w:val="0036019E"/>
    <w:rsid w:val="003619D5"/>
    <w:rsid w:val="00361E0C"/>
    <w:rsid w:val="0036216C"/>
    <w:rsid w:val="003637A4"/>
    <w:rsid w:val="00366257"/>
    <w:rsid w:val="0036705D"/>
    <w:rsid w:val="00367D02"/>
    <w:rsid w:val="00370823"/>
    <w:rsid w:val="00372282"/>
    <w:rsid w:val="003722A8"/>
    <w:rsid w:val="0037302D"/>
    <w:rsid w:val="00374E11"/>
    <w:rsid w:val="00376014"/>
    <w:rsid w:val="00380AEE"/>
    <w:rsid w:val="00382CDB"/>
    <w:rsid w:val="00387D48"/>
    <w:rsid w:val="00390AB5"/>
    <w:rsid w:val="00392FA5"/>
    <w:rsid w:val="00396E40"/>
    <w:rsid w:val="00397AC5"/>
    <w:rsid w:val="00397ECD"/>
    <w:rsid w:val="003A01F6"/>
    <w:rsid w:val="003A05FC"/>
    <w:rsid w:val="003A336E"/>
    <w:rsid w:val="003A5401"/>
    <w:rsid w:val="003A5FE9"/>
    <w:rsid w:val="003B0409"/>
    <w:rsid w:val="003B5B24"/>
    <w:rsid w:val="003B6F0E"/>
    <w:rsid w:val="003C2255"/>
    <w:rsid w:val="003C2FE6"/>
    <w:rsid w:val="003C4BFA"/>
    <w:rsid w:val="003C5116"/>
    <w:rsid w:val="003C5926"/>
    <w:rsid w:val="003C7235"/>
    <w:rsid w:val="003C7B79"/>
    <w:rsid w:val="003D0A50"/>
    <w:rsid w:val="003D1C21"/>
    <w:rsid w:val="003D43CA"/>
    <w:rsid w:val="003D464A"/>
    <w:rsid w:val="003D5230"/>
    <w:rsid w:val="003D56A0"/>
    <w:rsid w:val="003D57EA"/>
    <w:rsid w:val="003D588E"/>
    <w:rsid w:val="003D5D17"/>
    <w:rsid w:val="003D7674"/>
    <w:rsid w:val="003D790D"/>
    <w:rsid w:val="003D79D3"/>
    <w:rsid w:val="003E1E0C"/>
    <w:rsid w:val="003E2256"/>
    <w:rsid w:val="003E2B7F"/>
    <w:rsid w:val="003E44A9"/>
    <w:rsid w:val="003E588C"/>
    <w:rsid w:val="003E64BE"/>
    <w:rsid w:val="003E66B0"/>
    <w:rsid w:val="003E7B6B"/>
    <w:rsid w:val="003F1BE8"/>
    <w:rsid w:val="003F26C6"/>
    <w:rsid w:val="003F2825"/>
    <w:rsid w:val="003F4B7F"/>
    <w:rsid w:val="003F7D61"/>
    <w:rsid w:val="0040240C"/>
    <w:rsid w:val="004029DE"/>
    <w:rsid w:val="00406E9B"/>
    <w:rsid w:val="00407BFD"/>
    <w:rsid w:val="0041243F"/>
    <w:rsid w:val="00414B06"/>
    <w:rsid w:val="004151D4"/>
    <w:rsid w:val="00415A74"/>
    <w:rsid w:val="00416F5C"/>
    <w:rsid w:val="00417314"/>
    <w:rsid w:val="00425326"/>
    <w:rsid w:val="004343DC"/>
    <w:rsid w:val="004352BF"/>
    <w:rsid w:val="0043555C"/>
    <w:rsid w:val="00441108"/>
    <w:rsid w:val="00441C2E"/>
    <w:rsid w:val="004442F0"/>
    <w:rsid w:val="0044710F"/>
    <w:rsid w:val="0044748D"/>
    <w:rsid w:val="0045218C"/>
    <w:rsid w:val="0045236A"/>
    <w:rsid w:val="00455DDE"/>
    <w:rsid w:val="00457A71"/>
    <w:rsid w:val="00460607"/>
    <w:rsid w:val="00460697"/>
    <w:rsid w:val="00461C90"/>
    <w:rsid w:val="0046268D"/>
    <w:rsid w:val="004630B5"/>
    <w:rsid w:val="004637C1"/>
    <w:rsid w:val="00463AC1"/>
    <w:rsid w:val="00463BD6"/>
    <w:rsid w:val="00464540"/>
    <w:rsid w:val="00465D34"/>
    <w:rsid w:val="00467EC3"/>
    <w:rsid w:val="0047353E"/>
    <w:rsid w:val="00474803"/>
    <w:rsid w:val="004760DB"/>
    <w:rsid w:val="00480C2B"/>
    <w:rsid w:val="00481A44"/>
    <w:rsid w:val="004831B5"/>
    <w:rsid w:val="0048445C"/>
    <w:rsid w:val="004846B8"/>
    <w:rsid w:val="00485AF9"/>
    <w:rsid w:val="004868D3"/>
    <w:rsid w:val="00487485"/>
    <w:rsid w:val="004916FE"/>
    <w:rsid w:val="00491760"/>
    <w:rsid w:val="004956F1"/>
    <w:rsid w:val="00495CE4"/>
    <w:rsid w:val="00497A9F"/>
    <w:rsid w:val="004A00BD"/>
    <w:rsid w:val="004A0E09"/>
    <w:rsid w:val="004A15E1"/>
    <w:rsid w:val="004A1C30"/>
    <w:rsid w:val="004A2A1F"/>
    <w:rsid w:val="004A55D8"/>
    <w:rsid w:val="004A5695"/>
    <w:rsid w:val="004A5760"/>
    <w:rsid w:val="004A620B"/>
    <w:rsid w:val="004A6C00"/>
    <w:rsid w:val="004A6CFE"/>
    <w:rsid w:val="004A6F6F"/>
    <w:rsid w:val="004A7517"/>
    <w:rsid w:val="004B65A7"/>
    <w:rsid w:val="004B706D"/>
    <w:rsid w:val="004C1A12"/>
    <w:rsid w:val="004C3CA7"/>
    <w:rsid w:val="004C4C00"/>
    <w:rsid w:val="004C5B48"/>
    <w:rsid w:val="004D07B7"/>
    <w:rsid w:val="004D2C71"/>
    <w:rsid w:val="004D4506"/>
    <w:rsid w:val="004D4E08"/>
    <w:rsid w:val="004D7AA1"/>
    <w:rsid w:val="004D7AA7"/>
    <w:rsid w:val="004E06D9"/>
    <w:rsid w:val="004E1F42"/>
    <w:rsid w:val="004E3372"/>
    <w:rsid w:val="004E463A"/>
    <w:rsid w:val="004E4EE4"/>
    <w:rsid w:val="004E7A7D"/>
    <w:rsid w:val="00500B0B"/>
    <w:rsid w:val="00504464"/>
    <w:rsid w:val="00505146"/>
    <w:rsid w:val="005055FC"/>
    <w:rsid w:val="00506386"/>
    <w:rsid w:val="00506D7A"/>
    <w:rsid w:val="00510AB6"/>
    <w:rsid w:val="00511E32"/>
    <w:rsid w:val="00511F19"/>
    <w:rsid w:val="00512B39"/>
    <w:rsid w:val="00515417"/>
    <w:rsid w:val="00515976"/>
    <w:rsid w:val="00515FA8"/>
    <w:rsid w:val="00517677"/>
    <w:rsid w:val="00521CFB"/>
    <w:rsid w:val="005248C8"/>
    <w:rsid w:val="00524CE8"/>
    <w:rsid w:val="00524FC6"/>
    <w:rsid w:val="0052653A"/>
    <w:rsid w:val="00527297"/>
    <w:rsid w:val="00527C37"/>
    <w:rsid w:val="005305BE"/>
    <w:rsid w:val="00530750"/>
    <w:rsid w:val="00531133"/>
    <w:rsid w:val="00534303"/>
    <w:rsid w:val="005439D7"/>
    <w:rsid w:val="00543D58"/>
    <w:rsid w:val="00547652"/>
    <w:rsid w:val="00552F61"/>
    <w:rsid w:val="00553F45"/>
    <w:rsid w:val="00555D93"/>
    <w:rsid w:val="00556442"/>
    <w:rsid w:val="00557409"/>
    <w:rsid w:val="0056094F"/>
    <w:rsid w:val="00560E95"/>
    <w:rsid w:val="005644CA"/>
    <w:rsid w:val="005644D3"/>
    <w:rsid w:val="005731EC"/>
    <w:rsid w:val="005745B2"/>
    <w:rsid w:val="005745B3"/>
    <w:rsid w:val="00575BF4"/>
    <w:rsid w:val="005772BB"/>
    <w:rsid w:val="005809F6"/>
    <w:rsid w:val="00581688"/>
    <w:rsid w:val="005819A0"/>
    <w:rsid w:val="00582B53"/>
    <w:rsid w:val="00583255"/>
    <w:rsid w:val="00585321"/>
    <w:rsid w:val="00585426"/>
    <w:rsid w:val="00585D04"/>
    <w:rsid w:val="0059296D"/>
    <w:rsid w:val="005931A6"/>
    <w:rsid w:val="00594A4F"/>
    <w:rsid w:val="00594A78"/>
    <w:rsid w:val="00596134"/>
    <w:rsid w:val="005A0C44"/>
    <w:rsid w:val="005A15A8"/>
    <w:rsid w:val="005A2137"/>
    <w:rsid w:val="005A5581"/>
    <w:rsid w:val="005A5DB1"/>
    <w:rsid w:val="005A61E6"/>
    <w:rsid w:val="005B1340"/>
    <w:rsid w:val="005B24FA"/>
    <w:rsid w:val="005B3131"/>
    <w:rsid w:val="005B3A73"/>
    <w:rsid w:val="005B3C29"/>
    <w:rsid w:val="005B4CE2"/>
    <w:rsid w:val="005B7073"/>
    <w:rsid w:val="005B7EC3"/>
    <w:rsid w:val="005C04EB"/>
    <w:rsid w:val="005C05DF"/>
    <w:rsid w:val="005C0675"/>
    <w:rsid w:val="005C2796"/>
    <w:rsid w:val="005C3448"/>
    <w:rsid w:val="005C38DF"/>
    <w:rsid w:val="005C4918"/>
    <w:rsid w:val="005C7840"/>
    <w:rsid w:val="005C7F31"/>
    <w:rsid w:val="005D1F42"/>
    <w:rsid w:val="005D6330"/>
    <w:rsid w:val="005E1E83"/>
    <w:rsid w:val="005E2D6B"/>
    <w:rsid w:val="005E3A96"/>
    <w:rsid w:val="005E71A1"/>
    <w:rsid w:val="005F10FE"/>
    <w:rsid w:val="005F110B"/>
    <w:rsid w:val="005F1F05"/>
    <w:rsid w:val="005F35C6"/>
    <w:rsid w:val="005F5487"/>
    <w:rsid w:val="005F77F4"/>
    <w:rsid w:val="00600435"/>
    <w:rsid w:val="00601DB5"/>
    <w:rsid w:val="0060227D"/>
    <w:rsid w:val="00603627"/>
    <w:rsid w:val="006049AB"/>
    <w:rsid w:val="006054A8"/>
    <w:rsid w:val="00605F10"/>
    <w:rsid w:val="00606ED3"/>
    <w:rsid w:val="00607B1C"/>
    <w:rsid w:val="0061029D"/>
    <w:rsid w:val="006124BD"/>
    <w:rsid w:val="00614777"/>
    <w:rsid w:val="00615A2A"/>
    <w:rsid w:val="0061606F"/>
    <w:rsid w:val="00616464"/>
    <w:rsid w:val="00616CAE"/>
    <w:rsid w:val="00617C30"/>
    <w:rsid w:val="00617CDC"/>
    <w:rsid w:val="006221AE"/>
    <w:rsid w:val="00622EF2"/>
    <w:rsid w:val="006325E6"/>
    <w:rsid w:val="006339FC"/>
    <w:rsid w:val="00633BDF"/>
    <w:rsid w:val="00633ED7"/>
    <w:rsid w:val="00636C1C"/>
    <w:rsid w:val="00637651"/>
    <w:rsid w:val="00641306"/>
    <w:rsid w:val="00642307"/>
    <w:rsid w:val="00643929"/>
    <w:rsid w:val="00645EB4"/>
    <w:rsid w:val="00646390"/>
    <w:rsid w:val="0064651B"/>
    <w:rsid w:val="006502B6"/>
    <w:rsid w:val="00654BC7"/>
    <w:rsid w:val="00656B68"/>
    <w:rsid w:val="006579A1"/>
    <w:rsid w:val="00657A3C"/>
    <w:rsid w:val="00657E71"/>
    <w:rsid w:val="006610CB"/>
    <w:rsid w:val="00661287"/>
    <w:rsid w:val="0066392E"/>
    <w:rsid w:val="00663EBB"/>
    <w:rsid w:val="00664FD3"/>
    <w:rsid w:val="00665266"/>
    <w:rsid w:val="00666A8D"/>
    <w:rsid w:val="00672797"/>
    <w:rsid w:val="0067433F"/>
    <w:rsid w:val="00674BCD"/>
    <w:rsid w:val="006773E7"/>
    <w:rsid w:val="006816F1"/>
    <w:rsid w:val="0068385F"/>
    <w:rsid w:val="00684D16"/>
    <w:rsid w:val="006858CC"/>
    <w:rsid w:val="00685EEE"/>
    <w:rsid w:val="00686765"/>
    <w:rsid w:val="0068680A"/>
    <w:rsid w:val="00686DA9"/>
    <w:rsid w:val="00690DAC"/>
    <w:rsid w:val="00691ED7"/>
    <w:rsid w:val="00693A3A"/>
    <w:rsid w:val="00693F15"/>
    <w:rsid w:val="00695ECC"/>
    <w:rsid w:val="00697149"/>
    <w:rsid w:val="00697E1C"/>
    <w:rsid w:val="006A4263"/>
    <w:rsid w:val="006A71B3"/>
    <w:rsid w:val="006B11B0"/>
    <w:rsid w:val="006B2D71"/>
    <w:rsid w:val="006B32CB"/>
    <w:rsid w:val="006B4DF0"/>
    <w:rsid w:val="006B68B4"/>
    <w:rsid w:val="006C0F47"/>
    <w:rsid w:val="006C278F"/>
    <w:rsid w:val="006C28FF"/>
    <w:rsid w:val="006C2C46"/>
    <w:rsid w:val="006C7EFE"/>
    <w:rsid w:val="006D2BA7"/>
    <w:rsid w:val="006D374B"/>
    <w:rsid w:val="006D6F5B"/>
    <w:rsid w:val="006D78D3"/>
    <w:rsid w:val="006E2039"/>
    <w:rsid w:val="006E359C"/>
    <w:rsid w:val="006E4C4F"/>
    <w:rsid w:val="006E75A6"/>
    <w:rsid w:val="006F009A"/>
    <w:rsid w:val="006F0CEC"/>
    <w:rsid w:val="006F1189"/>
    <w:rsid w:val="006F2F84"/>
    <w:rsid w:val="006F4B7D"/>
    <w:rsid w:val="007023E7"/>
    <w:rsid w:val="00704C38"/>
    <w:rsid w:val="00704E9E"/>
    <w:rsid w:val="0070753B"/>
    <w:rsid w:val="0070799F"/>
    <w:rsid w:val="00710795"/>
    <w:rsid w:val="00710A1F"/>
    <w:rsid w:val="007110F8"/>
    <w:rsid w:val="00712341"/>
    <w:rsid w:val="007137D0"/>
    <w:rsid w:val="00714A79"/>
    <w:rsid w:val="00716677"/>
    <w:rsid w:val="00716A8C"/>
    <w:rsid w:val="007175D4"/>
    <w:rsid w:val="00720FBC"/>
    <w:rsid w:val="0072135B"/>
    <w:rsid w:val="00730066"/>
    <w:rsid w:val="007308D9"/>
    <w:rsid w:val="00730943"/>
    <w:rsid w:val="00733638"/>
    <w:rsid w:val="00734100"/>
    <w:rsid w:val="007359B6"/>
    <w:rsid w:val="00742131"/>
    <w:rsid w:val="0074318B"/>
    <w:rsid w:val="007469A8"/>
    <w:rsid w:val="00752470"/>
    <w:rsid w:val="0075251C"/>
    <w:rsid w:val="00753563"/>
    <w:rsid w:val="00755D7E"/>
    <w:rsid w:val="00760C16"/>
    <w:rsid w:val="00761E75"/>
    <w:rsid w:val="00762A62"/>
    <w:rsid w:val="00763193"/>
    <w:rsid w:val="00764124"/>
    <w:rsid w:val="007653DC"/>
    <w:rsid w:val="00766BE6"/>
    <w:rsid w:val="0077126D"/>
    <w:rsid w:val="00772C8C"/>
    <w:rsid w:val="0077369A"/>
    <w:rsid w:val="00774610"/>
    <w:rsid w:val="00777F62"/>
    <w:rsid w:val="007822AF"/>
    <w:rsid w:val="00782FC6"/>
    <w:rsid w:val="00787563"/>
    <w:rsid w:val="00787581"/>
    <w:rsid w:val="00791E2D"/>
    <w:rsid w:val="00792191"/>
    <w:rsid w:val="00794F10"/>
    <w:rsid w:val="00795078"/>
    <w:rsid w:val="00795DD3"/>
    <w:rsid w:val="007A17E9"/>
    <w:rsid w:val="007A243F"/>
    <w:rsid w:val="007A293E"/>
    <w:rsid w:val="007A6BD6"/>
    <w:rsid w:val="007B2008"/>
    <w:rsid w:val="007B2054"/>
    <w:rsid w:val="007B5331"/>
    <w:rsid w:val="007B5BA7"/>
    <w:rsid w:val="007B5DD5"/>
    <w:rsid w:val="007B6134"/>
    <w:rsid w:val="007B7718"/>
    <w:rsid w:val="007C19B6"/>
    <w:rsid w:val="007C22F8"/>
    <w:rsid w:val="007C72F4"/>
    <w:rsid w:val="007D3597"/>
    <w:rsid w:val="007D52F1"/>
    <w:rsid w:val="007E045B"/>
    <w:rsid w:val="007E233D"/>
    <w:rsid w:val="007E3E9B"/>
    <w:rsid w:val="007E41E3"/>
    <w:rsid w:val="007E48AA"/>
    <w:rsid w:val="007F00F1"/>
    <w:rsid w:val="007F059A"/>
    <w:rsid w:val="007F0954"/>
    <w:rsid w:val="007F3C85"/>
    <w:rsid w:val="007F4D84"/>
    <w:rsid w:val="007F59D8"/>
    <w:rsid w:val="007F5F84"/>
    <w:rsid w:val="008017B6"/>
    <w:rsid w:val="00804FF2"/>
    <w:rsid w:val="00806DCB"/>
    <w:rsid w:val="008121ED"/>
    <w:rsid w:val="008124C3"/>
    <w:rsid w:val="008149C6"/>
    <w:rsid w:val="00817036"/>
    <w:rsid w:val="00817F5E"/>
    <w:rsid w:val="00820695"/>
    <w:rsid w:val="008217D1"/>
    <w:rsid w:val="0082340A"/>
    <w:rsid w:val="0082537E"/>
    <w:rsid w:val="008257C9"/>
    <w:rsid w:val="0082636A"/>
    <w:rsid w:val="008264B4"/>
    <w:rsid w:val="00826DEC"/>
    <w:rsid w:val="00827279"/>
    <w:rsid w:val="008274B5"/>
    <w:rsid w:val="008307F9"/>
    <w:rsid w:val="00832299"/>
    <w:rsid w:val="008328E5"/>
    <w:rsid w:val="00832AD4"/>
    <w:rsid w:val="00836B05"/>
    <w:rsid w:val="00837000"/>
    <w:rsid w:val="0083710E"/>
    <w:rsid w:val="00840A6D"/>
    <w:rsid w:val="008417D7"/>
    <w:rsid w:val="00842DDD"/>
    <w:rsid w:val="00843615"/>
    <w:rsid w:val="00843F26"/>
    <w:rsid w:val="008552CF"/>
    <w:rsid w:val="00856589"/>
    <w:rsid w:val="00856B93"/>
    <w:rsid w:val="0086051F"/>
    <w:rsid w:val="00860B0D"/>
    <w:rsid w:val="008631BF"/>
    <w:rsid w:val="008652C0"/>
    <w:rsid w:val="00866A34"/>
    <w:rsid w:val="00866DE3"/>
    <w:rsid w:val="00871706"/>
    <w:rsid w:val="008719F4"/>
    <w:rsid w:val="00871B2A"/>
    <w:rsid w:val="00872856"/>
    <w:rsid w:val="00873D7C"/>
    <w:rsid w:val="00874D0E"/>
    <w:rsid w:val="0087585C"/>
    <w:rsid w:val="00881F23"/>
    <w:rsid w:val="00884F89"/>
    <w:rsid w:val="00885970"/>
    <w:rsid w:val="00890095"/>
    <w:rsid w:val="008905B5"/>
    <w:rsid w:val="0089186A"/>
    <w:rsid w:val="0089336D"/>
    <w:rsid w:val="00895857"/>
    <w:rsid w:val="008A510B"/>
    <w:rsid w:val="008A5932"/>
    <w:rsid w:val="008B2F07"/>
    <w:rsid w:val="008B6625"/>
    <w:rsid w:val="008B66A5"/>
    <w:rsid w:val="008B6D0F"/>
    <w:rsid w:val="008B7244"/>
    <w:rsid w:val="008C37B3"/>
    <w:rsid w:val="008C4CD1"/>
    <w:rsid w:val="008C55CC"/>
    <w:rsid w:val="008C6C82"/>
    <w:rsid w:val="008C768A"/>
    <w:rsid w:val="008D3C83"/>
    <w:rsid w:val="008D495B"/>
    <w:rsid w:val="008D4DE9"/>
    <w:rsid w:val="008E249C"/>
    <w:rsid w:val="008E29C9"/>
    <w:rsid w:val="008E5FC9"/>
    <w:rsid w:val="008E6619"/>
    <w:rsid w:val="008F18A3"/>
    <w:rsid w:val="008F1F70"/>
    <w:rsid w:val="008F225C"/>
    <w:rsid w:val="008F5CDA"/>
    <w:rsid w:val="008F616B"/>
    <w:rsid w:val="008F6522"/>
    <w:rsid w:val="008F6751"/>
    <w:rsid w:val="008F71A0"/>
    <w:rsid w:val="00900782"/>
    <w:rsid w:val="00900AB6"/>
    <w:rsid w:val="009016F1"/>
    <w:rsid w:val="00902647"/>
    <w:rsid w:val="00904546"/>
    <w:rsid w:val="00905A99"/>
    <w:rsid w:val="00906FA5"/>
    <w:rsid w:val="00915230"/>
    <w:rsid w:val="00917740"/>
    <w:rsid w:val="00920EC4"/>
    <w:rsid w:val="00921229"/>
    <w:rsid w:val="00921AA8"/>
    <w:rsid w:val="009221DA"/>
    <w:rsid w:val="0092226F"/>
    <w:rsid w:val="00922635"/>
    <w:rsid w:val="00922801"/>
    <w:rsid w:val="00925293"/>
    <w:rsid w:val="00925851"/>
    <w:rsid w:val="00932755"/>
    <w:rsid w:val="009332AC"/>
    <w:rsid w:val="0093516D"/>
    <w:rsid w:val="00936307"/>
    <w:rsid w:val="009377FA"/>
    <w:rsid w:val="00937DBB"/>
    <w:rsid w:val="00941446"/>
    <w:rsid w:val="009422BA"/>
    <w:rsid w:val="0094329C"/>
    <w:rsid w:val="009442EC"/>
    <w:rsid w:val="009449D9"/>
    <w:rsid w:val="00945FCA"/>
    <w:rsid w:val="00946E92"/>
    <w:rsid w:val="00947B0F"/>
    <w:rsid w:val="009500DB"/>
    <w:rsid w:val="00950484"/>
    <w:rsid w:val="0095529A"/>
    <w:rsid w:val="00955C8F"/>
    <w:rsid w:val="00956348"/>
    <w:rsid w:val="009576E4"/>
    <w:rsid w:val="00960F3F"/>
    <w:rsid w:val="009626FB"/>
    <w:rsid w:val="00963728"/>
    <w:rsid w:val="00964D3E"/>
    <w:rsid w:val="009654DC"/>
    <w:rsid w:val="0097037E"/>
    <w:rsid w:val="0097045C"/>
    <w:rsid w:val="00971B42"/>
    <w:rsid w:val="009736EB"/>
    <w:rsid w:val="00974C5D"/>
    <w:rsid w:val="00976816"/>
    <w:rsid w:val="009769B7"/>
    <w:rsid w:val="00980FCA"/>
    <w:rsid w:val="0098227B"/>
    <w:rsid w:val="00983482"/>
    <w:rsid w:val="00983AB7"/>
    <w:rsid w:val="00984335"/>
    <w:rsid w:val="00984C79"/>
    <w:rsid w:val="00985149"/>
    <w:rsid w:val="00985D57"/>
    <w:rsid w:val="00985DE5"/>
    <w:rsid w:val="00986498"/>
    <w:rsid w:val="00991C05"/>
    <w:rsid w:val="009929F7"/>
    <w:rsid w:val="009930CC"/>
    <w:rsid w:val="00994214"/>
    <w:rsid w:val="009947C6"/>
    <w:rsid w:val="00994B49"/>
    <w:rsid w:val="00996100"/>
    <w:rsid w:val="009A069E"/>
    <w:rsid w:val="009A0BEC"/>
    <w:rsid w:val="009A1F30"/>
    <w:rsid w:val="009B24C0"/>
    <w:rsid w:val="009B2C49"/>
    <w:rsid w:val="009B688B"/>
    <w:rsid w:val="009C0582"/>
    <w:rsid w:val="009C46D5"/>
    <w:rsid w:val="009C48F0"/>
    <w:rsid w:val="009C5EE8"/>
    <w:rsid w:val="009D1A98"/>
    <w:rsid w:val="009D1DD9"/>
    <w:rsid w:val="009D43D3"/>
    <w:rsid w:val="009D540E"/>
    <w:rsid w:val="009D7284"/>
    <w:rsid w:val="009E1548"/>
    <w:rsid w:val="009E1F22"/>
    <w:rsid w:val="009E1F80"/>
    <w:rsid w:val="009E25DC"/>
    <w:rsid w:val="009E272A"/>
    <w:rsid w:val="00A0121D"/>
    <w:rsid w:val="00A022A9"/>
    <w:rsid w:val="00A026C8"/>
    <w:rsid w:val="00A14442"/>
    <w:rsid w:val="00A164B1"/>
    <w:rsid w:val="00A170E0"/>
    <w:rsid w:val="00A20C2E"/>
    <w:rsid w:val="00A22307"/>
    <w:rsid w:val="00A22423"/>
    <w:rsid w:val="00A225D5"/>
    <w:rsid w:val="00A229A3"/>
    <w:rsid w:val="00A23CAB"/>
    <w:rsid w:val="00A247CE"/>
    <w:rsid w:val="00A267D4"/>
    <w:rsid w:val="00A3076B"/>
    <w:rsid w:val="00A32659"/>
    <w:rsid w:val="00A32D03"/>
    <w:rsid w:val="00A35407"/>
    <w:rsid w:val="00A356FA"/>
    <w:rsid w:val="00A36840"/>
    <w:rsid w:val="00A41BB0"/>
    <w:rsid w:val="00A41CFD"/>
    <w:rsid w:val="00A429D8"/>
    <w:rsid w:val="00A42F5C"/>
    <w:rsid w:val="00A4588B"/>
    <w:rsid w:val="00A45BE1"/>
    <w:rsid w:val="00A47155"/>
    <w:rsid w:val="00A52BCB"/>
    <w:rsid w:val="00A52DC7"/>
    <w:rsid w:val="00A53430"/>
    <w:rsid w:val="00A53A1A"/>
    <w:rsid w:val="00A53D62"/>
    <w:rsid w:val="00A55C97"/>
    <w:rsid w:val="00A56546"/>
    <w:rsid w:val="00A568D9"/>
    <w:rsid w:val="00A5758E"/>
    <w:rsid w:val="00A60E1A"/>
    <w:rsid w:val="00A61173"/>
    <w:rsid w:val="00A6322C"/>
    <w:rsid w:val="00A63DBC"/>
    <w:rsid w:val="00A63E6D"/>
    <w:rsid w:val="00A64EA0"/>
    <w:rsid w:val="00A66C1E"/>
    <w:rsid w:val="00A66C4E"/>
    <w:rsid w:val="00A70933"/>
    <w:rsid w:val="00A70CFD"/>
    <w:rsid w:val="00A70F20"/>
    <w:rsid w:val="00A7341D"/>
    <w:rsid w:val="00A734E7"/>
    <w:rsid w:val="00A7627A"/>
    <w:rsid w:val="00A76458"/>
    <w:rsid w:val="00A775C8"/>
    <w:rsid w:val="00A7772B"/>
    <w:rsid w:val="00A801A8"/>
    <w:rsid w:val="00A806D5"/>
    <w:rsid w:val="00A80F3A"/>
    <w:rsid w:val="00A8245B"/>
    <w:rsid w:val="00A82DCE"/>
    <w:rsid w:val="00A83220"/>
    <w:rsid w:val="00A872A4"/>
    <w:rsid w:val="00A876B0"/>
    <w:rsid w:val="00A924F2"/>
    <w:rsid w:val="00A941A3"/>
    <w:rsid w:val="00A94FEE"/>
    <w:rsid w:val="00A963D2"/>
    <w:rsid w:val="00AA2ED7"/>
    <w:rsid w:val="00AA4D0C"/>
    <w:rsid w:val="00AA5E46"/>
    <w:rsid w:val="00AB1065"/>
    <w:rsid w:val="00AB13AB"/>
    <w:rsid w:val="00AB3502"/>
    <w:rsid w:val="00AC0BBA"/>
    <w:rsid w:val="00AC0F1D"/>
    <w:rsid w:val="00AC29B9"/>
    <w:rsid w:val="00AC70AE"/>
    <w:rsid w:val="00AC7573"/>
    <w:rsid w:val="00AD0747"/>
    <w:rsid w:val="00AD4498"/>
    <w:rsid w:val="00AD77DF"/>
    <w:rsid w:val="00AD7E8A"/>
    <w:rsid w:val="00AE0B25"/>
    <w:rsid w:val="00AE1743"/>
    <w:rsid w:val="00AE6E28"/>
    <w:rsid w:val="00AF492C"/>
    <w:rsid w:val="00AF6D84"/>
    <w:rsid w:val="00B024CF"/>
    <w:rsid w:val="00B06B23"/>
    <w:rsid w:val="00B107E6"/>
    <w:rsid w:val="00B11146"/>
    <w:rsid w:val="00B11C5C"/>
    <w:rsid w:val="00B13630"/>
    <w:rsid w:val="00B13675"/>
    <w:rsid w:val="00B13D0C"/>
    <w:rsid w:val="00B13FEE"/>
    <w:rsid w:val="00B15440"/>
    <w:rsid w:val="00B154AB"/>
    <w:rsid w:val="00B15C4A"/>
    <w:rsid w:val="00B15E80"/>
    <w:rsid w:val="00B20D58"/>
    <w:rsid w:val="00B22731"/>
    <w:rsid w:val="00B233F5"/>
    <w:rsid w:val="00B24AC8"/>
    <w:rsid w:val="00B24C37"/>
    <w:rsid w:val="00B277F4"/>
    <w:rsid w:val="00B35AA2"/>
    <w:rsid w:val="00B35CAB"/>
    <w:rsid w:val="00B35DA6"/>
    <w:rsid w:val="00B415E9"/>
    <w:rsid w:val="00B439BC"/>
    <w:rsid w:val="00B442D4"/>
    <w:rsid w:val="00B45963"/>
    <w:rsid w:val="00B46AF5"/>
    <w:rsid w:val="00B472B2"/>
    <w:rsid w:val="00B47734"/>
    <w:rsid w:val="00B47F0E"/>
    <w:rsid w:val="00B505DD"/>
    <w:rsid w:val="00B555A9"/>
    <w:rsid w:val="00B558A3"/>
    <w:rsid w:val="00B56B09"/>
    <w:rsid w:val="00B61CF8"/>
    <w:rsid w:val="00B64FF2"/>
    <w:rsid w:val="00B6539D"/>
    <w:rsid w:val="00B65A43"/>
    <w:rsid w:val="00B7166D"/>
    <w:rsid w:val="00B73B37"/>
    <w:rsid w:val="00B75538"/>
    <w:rsid w:val="00B76F04"/>
    <w:rsid w:val="00B77336"/>
    <w:rsid w:val="00B84746"/>
    <w:rsid w:val="00B87EBB"/>
    <w:rsid w:val="00B9128D"/>
    <w:rsid w:val="00B91508"/>
    <w:rsid w:val="00B935B1"/>
    <w:rsid w:val="00B93FC2"/>
    <w:rsid w:val="00B97258"/>
    <w:rsid w:val="00B9744F"/>
    <w:rsid w:val="00BA0DE3"/>
    <w:rsid w:val="00BA260A"/>
    <w:rsid w:val="00BA5AFA"/>
    <w:rsid w:val="00BB05F6"/>
    <w:rsid w:val="00BB218D"/>
    <w:rsid w:val="00BB538E"/>
    <w:rsid w:val="00BB5774"/>
    <w:rsid w:val="00BB5B73"/>
    <w:rsid w:val="00BC0D28"/>
    <w:rsid w:val="00BC1EF2"/>
    <w:rsid w:val="00BC6C41"/>
    <w:rsid w:val="00BC7689"/>
    <w:rsid w:val="00BD1041"/>
    <w:rsid w:val="00BD161A"/>
    <w:rsid w:val="00BD2DBB"/>
    <w:rsid w:val="00BD58BF"/>
    <w:rsid w:val="00BD5F23"/>
    <w:rsid w:val="00BD6F0E"/>
    <w:rsid w:val="00BE4C60"/>
    <w:rsid w:val="00BE5063"/>
    <w:rsid w:val="00BE5E6C"/>
    <w:rsid w:val="00BF20F1"/>
    <w:rsid w:val="00BF27BC"/>
    <w:rsid w:val="00BF393F"/>
    <w:rsid w:val="00BF43DD"/>
    <w:rsid w:val="00BF64E4"/>
    <w:rsid w:val="00BF783D"/>
    <w:rsid w:val="00C01FE5"/>
    <w:rsid w:val="00C036E3"/>
    <w:rsid w:val="00C0572C"/>
    <w:rsid w:val="00C0672A"/>
    <w:rsid w:val="00C0706C"/>
    <w:rsid w:val="00C07120"/>
    <w:rsid w:val="00C10B35"/>
    <w:rsid w:val="00C13692"/>
    <w:rsid w:val="00C1585A"/>
    <w:rsid w:val="00C16854"/>
    <w:rsid w:val="00C2033F"/>
    <w:rsid w:val="00C20650"/>
    <w:rsid w:val="00C20FAC"/>
    <w:rsid w:val="00C21676"/>
    <w:rsid w:val="00C227CE"/>
    <w:rsid w:val="00C22C7F"/>
    <w:rsid w:val="00C2401E"/>
    <w:rsid w:val="00C26AA0"/>
    <w:rsid w:val="00C2764E"/>
    <w:rsid w:val="00C27D25"/>
    <w:rsid w:val="00C34E62"/>
    <w:rsid w:val="00C35DB6"/>
    <w:rsid w:val="00C36EF2"/>
    <w:rsid w:val="00C40622"/>
    <w:rsid w:val="00C415A1"/>
    <w:rsid w:val="00C416E0"/>
    <w:rsid w:val="00C4393D"/>
    <w:rsid w:val="00C442E2"/>
    <w:rsid w:val="00C4593D"/>
    <w:rsid w:val="00C45A5D"/>
    <w:rsid w:val="00C465A2"/>
    <w:rsid w:val="00C46A9E"/>
    <w:rsid w:val="00C5082C"/>
    <w:rsid w:val="00C513EC"/>
    <w:rsid w:val="00C51BAA"/>
    <w:rsid w:val="00C52DC0"/>
    <w:rsid w:val="00C5306B"/>
    <w:rsid w:val="00C64972"/>
    <w:rsid w:val="00C66777"/>
    <w:rsid w:val="00C7358E"/>
    <w:rsid w:val="00C765AE"/>
    <w:rsid w:val="00C765F9"/>
    <w:rsid w:val="00C8056B"/>
    <w:rsid w:val="00C828B8"/>
    <w:rsid w:val="00C82C9B"/>
    <w:rsid w:val="00C837F7"/>
    <w:rsid w:val="00C858DE"/>
    <w:rsid w:val="00C85D39"/>
    <w:rsid w:val="00C8663E"/>
    <w:rsid w:val="00C86E6B"/>
    <w:rsid w:val="00C900FD"/>
    <w:rsid w:val="00C9196A"/>
    <w:rsid w:val="00C92C41"/>
    <w:rsid w:val="00C92F79"/>
    <w:rsid w:val="00C93169"/>
    <w:rsid w:val="00C9425D"/>
    <w:rsid w:val="00C9595C"/>
    <w:rsid w:val="00C95A8D"/>
    <w:rsid w:val="00CA1796"/>
    <w:rsid w:val="00CA3864"/>
    <w:rsid w:val="00CA7FA7"/>
    <w:rsid w:val="00CB1D42"/>
    <w:rsid w:val="00CB2874"/>
    <w:rsid w:val="00CB6149"/>
    <w:rsid w:val="00CC1BCA"/>
    <w:rsid w:val="00CC23E0"/>
    <w:rsid w:val="00CC26CA"/>
    <w:rsid w:val="00CC2924"/>
    <w:rsid w:val="00CC392C"/>
    <w:rsid w:val="00CC79CE"/>
    <w:rsid w:val="00CD071A"/>
    <w:rsid w:val="00CD115C"/>
    <w:rsid w:val="00CD500D"/>
    <w:rsid w:val="00CD65A3"/>
    <w:rsid w:val="00CD6F9F"/>
    <w:rsid w:val="00CE21D3"/>
    <w:rsid w:val="00CE24EB"/>
    <w:rsid w:val="00CE49AB"/>
    <w:rsid w:val="00CF021C"/>
    <w:rsid w:val="00CF08F3"/>
    <w:rsid w:val="00CF1157"/>
    <w:rsid w:val="00CF1A1D"/>
    <w:rsid w:val="00CF20F3"/>
    <w:rsid w:val="00CF2229"/>
    <w:rsid w:val="00CF2BB2"/>
    <w:rsid w:val="00CF394B"/>
    <w:rsid w:val="00CF4ACC"/>
    <w:rsid w:val="00CF4BF5"/>
    <w:rsid w:val="00CF4EA7"/>
    <w:rsid w:val="00CF554C"/>
    <w:rsid w:val="00D00E0E"/>
    <w:rsid w:val="00D0103E"/>
    <w:rsid w:val="00D013FF"/>
    <w:rsid w:val="00D01C0C"/>
    <w:rsid w:val="00D027B5"/>
    <w:rsid w:val="00D02BFB"/>
    <w:rsid w:val="00D039E2"/>
    <w:rsid w:val="00D03BEA"/>
    <w:rsid w:val="00D04EE9"/>
    <w:rsid w:val="00D108F4"/>
    <w:rsid w:val="00D10C4B"/>
    <w:rsid w:val="00D12203"/>
    <w:rsid w:val="00D124F8"/>
    <w:rsid w:val="00D1258F"/>
    <w:rsid w:val="00D140A6"/>
    <w:rsid w:val="00D144FF"/>
    <w:rsid w:val="00D14841"/>
    <w:rsid w:val="00D155ED"/>
    <w:rsid w:val="00D15FE9"/>
    <w:rsid w:val="00D20E5A"/>
    <w:rsid w:val="00D22527"/>
    <w:rsid w:val="00D25949"/>
    <w:rsid w:val="00D25BE5"/>
    <w:rsid w:val="00D27ADF"/>
    <w:rsid w:val="00D27B83"/>
    <w:rsid w:val="00D3174F"/>
    <w:rsid w:val="00D3197B"/>
    <w:rsid w:val="00D32906"/>
    <w:rsid w:val="00D33AD8"/>
    <w:rsid w:val="00D33D35"/>
    <w:rsid w:val="00D33F46"/>
    <w:rsid w:val="00D36AA5"/>
    <w:rsid w:val="00D41F94"/>
    <w:rsid w:val="00D434B4"/>
    <w:rsid w:val="00D43F9C"/>
    <w:rsid w:val="00D453F1"/>
    <w:rsid w:val="00D45A97"/>
    <w:rsid w:val="00D509E2"/>
    <w:rsid w:val="00D513AA"/>
    <w:rsid w:val="00D55EBF"/>
    <w:rsid w:val="00D5741C"/>
    <w:rsid w:val="00D57C63"/>
    <w:rsid w:val="00D648C6"/>
    <w:rsid w:val="00D64E82"/>
    <w:rsid w:val="00D6545B"/>
    <w:rsid w:val="00D67587"/>
    <w:rsid w:val="00D703B4"/>
    <w:rsid w:val="00D70DC3"/>
    <w:rsid w:val="00D712A6"/>
    <w:rsid w:val="00D726B8"/>
    <w:rsid w:val="00D732B0"/>
    <w:rsid w:val="00D754DF"/>
    <w:rsid w:val="00D76519"/>
    <w:rsid w:val="00D76EAC"/>
    <w:rsid w:val="00D8271A"/>
    <w:rsid w:val="00D83402"/>
    <w:rsid w:val="00D83842"/>
    <w:rsid w:val="00D83D0B"/>
    <w:rsid w:val="00D83FAE"/>
    <w:rsid w:val="00D844B8"/>
    <w:rsid w:val="00D871F7"/>
    <w:rsid w:val="00D90D76"/>
    <w:rsid w:val="00D919D1"/>
    <w:rsid w:val="00D92F6B"/>
    <w:rsid w:val="00D95AE1"/>
    <w:rsid w:val="00D97044"/>
    <w:rsid w:val="00DA03D1"/>
    <w:rsid w:val="00DA1711"/>
    <w:rsid w:val="00DA1B88"/>
    <w:rsid w:val="00DA6951"/>
    <w:rsid w:val="00DA7A96"/>
    <w:rsid w:val="00DB0074"/>
    <w:rsid w:val="00DB0B3A"/>
    <w:rsid w:val="00DB3B21"/>
    <w:rsid w:val="00DB4C07"/>
    <w:rsid w:val="00DB51C9"/>
    <w:rsid w:val="00DB6235"/>
    <w:rsid w:val="00DB78E1"/>
    <w:rsid w:val="00DC1AD5"/>
    <w:rsid w:val="00DC5CC8"/>
    <w:rsid w:val="00DD08D0"/>
    <w:rsid w:val="00DD142A"/>
    <w:rsid w:val="00DD32F5"/>
    <w:rsid w:val="00DD4888"/>
    <w:rsid w:val="00DD5114"/>
    <w:rsid w:val="00DD5D75"/>
    <w:rsid w:val="00DD6259"/>
    <w:rsid w:val="00DD7224"/>
    <w:rsid w:val="00DE05E9"/>
    <w:rsid w:val="00DE363A"/>
    <w:rsid w:val="00DE48A8"/>
    <w:rsid w:val="00DE5FA2"/>
    <w:rsid w:val="00DE684B"/>
    <w:rsid w:val="00DE698F"/>
    <w:rsid w:val="00DE6FAD"/>
    <w:rsid w:val="00DF27C9"/>
    <w:rsid w:val="00DF2800"/>
    <w:rsid w:val="00DF46A7"/>
    <w:rsid w:val="00DF50C4"/>
    <w:rsid w:val="00DF522B"/>
    <w:rsid w:val="00DF7050"/>
    <w:rsid w:val="00E00583"/>
    <w:rsid w:val="00E00A39"/>
    <w:rsid w:val="00E00D75"/>
    <w:rsid w:val="00E011F4"/>
    <w:rsid w:val="00E01BBA"/>
    <w:rsid w:val="00E0416A"/>
    <w:rsid w:val="00E075CC"/>
    <w:rsid w:val="00E10C9F"/>
    <w:rsid w:val="00E1144B"/>
    <w:rsid w:val="00E118F1"/>
    <w:rsid w:val="00E11C46"/>
    <w:rsid w:val="00E11D86"/>
    <w:rsid w:val="00E139B6"/>
    <w:rsid w:val="00E161A1"/>
    <w:rsid w:val="00E16564"/>
    <w:rsid w:val="00E210B4"/>
    <w:rsid w:val="00E22FEB"/>
    <w:rsid w:val="00E2388D"/>
    <w:rsid w:val="00E253FA"/>
    <w:rsid w:val="00E306A3"/>
    <w:rsid w:val="00E33FC7"/>
    <w:rsid w:val="00E348A5"/>
    <w:rsid w:val="00E350CA"/>
    <w:rsid w:val="00E36261"/>
    <w:rsid w:val="00E377F1"/>
    <w:rsid w:val="00E4095C"/>
    <w:rsid w:val="00E40EC3"/>
    <w:rsid w:val="00E419AA"/>
    <w:rsid w:val="00E41AAC"/>
    <w:rsid w:val="00E41D82"/>
    <w:rsid w:val="00E46953"/>
    <w:rsid w:val="00E472B8"/>
    <w:rsid w:val="00E50C89"/>
    <w:rsid w:val="00E52282"/>
    <w:rsid w:val="00E52F0E"/>
    <w:rsid w:val="00E53746"/>
    <w:rsid w:val="00E53D85"/>
    <w:rsid w:val="00E60D5E"/>
    <w:rsid w:val="00E6105C"/>
    <w:rsid w:val="00E61565"/>
    <w:rsid w:val="00E71B98"/>
    <w:rsid w:val="00E72555"/>
    <w:rsid w:val="00E75DCF"/>
    <w:rsid w:val="00E803D1"/>
    <w:rsid w:val="00E8042D"/>
    <w:rsid w:val="00E816FF"/>
    <w:rsid w:val="00E85D3C"/>
    <w:rsid w:val="00E87802"/>
    <w:rsid w:val="00E90EDE"/>
    <w:rsid w:val="00E91F6C"/>
    <w:rsid w:val="00E9313D"/>
    <w:rsid w:val="00E94016"/>
    <w:rsid w:val="00E941C8"/>
    <w:rsid w:val="00E94C0C"/>
    <w:rsid w:val="00E96013"/>
    <w:rsid w:val="00E96BEE"/>
    <w:rsid w:val="00EA18B4"/>
    <w:rsid w:val="00EA24A3"/>
    <w:rsid w:val="00EA286A"/>
    <w:rsid w:val="00EA4011"/>
    <w:rsid w:val="00EA53A9"/>
    <w:rsid w:val="00EB1E11"/>
    <w:rsid w:val="00EC048C"/>
    <w:rsid w:val="00EC21F3"/>
    <w:rsid w:val="00EC615B"/>
    <w:rsid w:val="00EC6A27"/>
    <w:rsid w:val="00EC758B"/>
    <w:rsid w:val="00EC7C10"/>
    <w:rsid w:val="00ED5CD7"/>
    <w:rsid w:val="00ED6EA8"/>
    <w:rsid w:val="00ED79A0"/>
    <w:rsid w:val="00EE1BCF"/>
    <w:rsid w:val="00EE264C"/>
    <w:rsid w:val="00EE5062"/>
    <w:rsid w:val="00EE556F"/>
    <w:rsid w:val="00EE6395"/>
    <w:rsid w:val="00EE7080"/>
    <w:rsid w:val="00EE739E"/>
    <w:rsid w:val="00EF021D"/>
    <w:rsid w:val="00EF09AC"/>
    <w:rsid w:val="00EF3721"/>
    <w:rsid w:val="00EF5296"/>
    <w:rsid w:val="00EF5861"/>
    <w:rsid w:val="00EF5EF2"/>
    <w:rsid w:val="00EF630F"/>
    <w:rsid w:val="00EF63E9"/>
    <w:rsid w:val="00F00A03"/>
    <w:rsid w:val="00F03FBB"/>
    <w:rsid w:val="00F04ABE"/>
    <w:rsid w:val="00F05E7F"/>
    <w:rsid w:val="00F07A9F"/>
    <w:rsid w:val="00F119C3"/>
    <w:rsid w:val="00F1431E"/>
    <w:rsid w:val="00F147B4"/>
    <w:rsid w:val="00F14DEB"/>
    <w:rsid w:val="00F201A0"/>
    <w:rsid w:val="00F22B0A"/>
    <w:rsid w:val="00F349E9"/>
    <w:rsid w:val="00F34F10"/>
    <w:rsid w:val="00F36A24"/>
    <w:rsid w:val="00F410B1"/>
    <w:rsid w:val="00F43199"/>
    <w:rsid w:val="00F5024C"/>
    <w:rsid w:val="00F528D2"/>
    <w:rsid w:val="00F52B28"/>
    <w:rsid w:val="00F54793"/>
    <w:rsid w:val="00F55C5E"/>
    <w:rsid w:val="00F601C9"/>
    <w:rsid w:val="00F60935"/>
    <w:rsid w:val="00F620A3"/>
    <w:rsid w:val="00F62664"/>
    <w:rsid w:val="00F63362"/>
    <w:rsid w:val="00F64394"/>
    <w:rsid w:val="00F67FA6"/>
    <w:rsid w:val="00F71BB7"/>
    <w:rsid w:val="00F72055"/>
    <w:rsid w:val="00F731A4"/>
    <w:rsid w:val="00F75791"/>
    <w:rsid w:val="00F76000"/>
    <w:rsid w:val="00F7672A"/>
    <w:rsid w:val="00F76E0F"/>
    <w:rsid w:val="00F7768E"/>
    <w:rsid w:val="00F80A19"/>
    <w:rsid w:val="00F82688"/>
    <w:rsid w:val="00F84D6B"/>
    <w:rsid w:val="00F84F2A"/>
    <w:rsid w:val="00F85395"/>
    <w:rsid w:val="00F9181B"/>
    <w:rsid w:val="00F93339"/>
    <w:rsid w:val="00F94265"/>
    <w:rsid w:val="00F951EE"/>
    <w:rsid w:val="00F9751E"/>
    <w:rsid w:val="00F97EFF"/>
    <w:rsid w:val="00FA17CF"/>
    <w:rsid w:val="00FA2571"/>
    <w:rsid w:val="00FA3942"/>
    <w:rsid w:val="00FA3988"/>
    <w:rsid w:val="00FA6215"/>
    <w:rsid w:val="00FB0907"/>
    <w:rsid w:val="00FB2E29"/>
    <w:rsid w:val="00FB4498"/>
    <w:rsid w:val="00FB5089"/>
    <w:rsid w:val="00FB625A"/>
    <w:rsid w:val="00FB643A"/>
    <w:rsid w:val="00FB680B"/>
    <w:rsid w:val="00FC1A36"/>
    <w:rsid w:val="00FC2D69"/>
    <w:rsid w:val="00FC5A8D"/>
    <w:rsid w:val="00FC7D1C"/>
    <w:rsid w:val="00FD00E7"/>
    <w:rsid w:val="00FD2B6A"/>
    <w:rsid w:val="00FD349D"/>
    <w:rsid w:val="00FD3960"/>
    <w:rsid w:val="00FD4079"/>
    <w:rsid w:val="00FE0334"/>
    <w:rsid w:val="00FE0A57"/>
    <w:rsid w:val="00FE182C"/>
    <w:rsid w:val="00FE3389"/>
    <w:rsid w:val="00FF2843"/>
    <w:rsid w:val="00FF3362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1EFA0AB"/>
  <w15:docId w15:val="{FC666595-8A0A-4CD6-AF30-716D6567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F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6C0F47"/>
    <w:pPr>
      <w:autoSpaceDE w:val="0"/>
      <w:autoSpaceDN w:val="0"/>
      <w:adjustRightInd w:val="0"/>
      <w:spacing w:after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6C0F47"/>
    <w:pPr>
      <w:autoSpaceDE w:val="0"/>
      <w:autoSpaceDN w:val="0"/>
      <w:adjustRightInd w:val="0"/>
      <w:spacing w:after="0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B56B09"/>
    <w:pPr>
      <w:autoSpaceDE w:val="0"/>
      <w:autoSpaceDN w:val="0"/>
      <w:adjustRightInd w:val="0"/>
      <w:spacing w:after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xxRulesParagraph">
    <w:name w:val="x.x Rules Paragraph"/>
    <w:basedOn w:val="Normal"/>
    <w:autoRedefine/>
    <w:rsid w:val="00A41CFD"/>
    <w:pPr>
      <w:tabs>
        <w:tab w:val="left" w:pos="0"/>
        <w:tab w:val="left" w:pos="709"/>
      </w:tabs>
      <w:spacing w:after="0"/>
      <w:jc w:val="both"/>
    </w:pPr>
    <w:rPr>
      <w:rFonts w:ascii="Lucida Sans Unicode" w:eastAsia="Times New Roman" w:hAnsi="Lucida Sans Unicode" w:cs="Lucida Sans Unicode"/>
      <w:noProof/>
      <w:color w:val="222222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F951E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951E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951E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951E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951E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51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51E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6094F"/>
    <w:pPr>
      <w:spacing w:before="0" w:after="160" w:line="259" w:lineRule="auto"/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rsid w:val="0056094F"/>
    <w:pPr>
      <w:spacing w:before="0" w:after="0"/>
    </w:pPr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customStyle="1" w:styleId="TekstfusnoteChar">
    <w:name w:val="Tekst fusnote Char"/>
    <w:basedOn w:val="Zadanifontodlomka"/>
    <w:link w:val="Tekstfusnote"/>
    <w:uiPriority w:val="99"/>
    <w:rsid w:val="0056094F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styleId="Referencafusnote">
    <w:name w:val="footnote reference"/>
    <w:aliases w:val="Footnote Reference Number,Footnote symbol"/>
    <w:uiPriority w:val="99"/>
    <w:rsid w:val="0056094F"/>
    <w:rPr>
      <w:vertAlign w:val="superscript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56094F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56094F"/>
    <w:rPr>
      <w:rFonts w:ascii="Consolas" w:hAnsi="Consolas"/>
      <w:sz w:val="20"/>
      <w:szCs w:val="20"/>
    </w:rPr>
  </w:style>
  <w:style w:type="paragraph" w:customStyle="1" w:styleId="Text3">
    <w:name w:val="Text 3"/>
    <w:basedOn w:val="Normal"/>
    <w:rsid w:val="0056094F"/>
    <w:pPr>
      <w:tabs>
        <w:tab w:val="left" w:pos="2302"/>
      </w:tabs>
      <w:suppressAutoHyphens/>
      <w:spacing w:before="0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customStyle="1" w:styleId="mrppsc">
    <w:name w:val="mrppsc"/>
    <w:basedOn w:val="Zadanifontodlomka"/>
    <w:rsid w:val="00E41AAC"/>
  </w:style>
  <w:style w:type="paragraph" w:styleId="Bezproreda">
    <w:name w:val="No Spacing"/>
    <w:uiPriority w:val="1"/>
    <w:qFormat/>
    <w:rsid w:val="007023E7"/>
    <w:pPr>
      <w:spacing w:before="0" w:after="0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hps">
    <w:name w:val="hps"/>
    <w:uiPriority w:val="99"/>
    <w:rsid w:val="00131C9B"/>
  </w:style>
  <w:style w:type="paragraph" w:styleId="Zaglavlje">
    <w:name w:val="header"/>
    <w:basedOn w:val="Normal"/>
    <w:link w:val="ZaglavljeChar"/>
    <w:uiPriority w:val="99"/>
    <w:unhideWhenUsed/>
    <w:rsid w:val="00674BCD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674BCD"/>
  </w:style>
  <w:style w:type="paragraph" w:styleId="Podnoje">
    <w:name w:val="footer"/>
    <w:basedOn w:val="Normal"/>
    <w:link w:val="PodnojeChar"/>
    <w:uiPriority w:val="99"/>
    <w:unhideWhenUsed/>
    <w:rsid w:val="00674BCD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674BCD"/>
  </w:style>
  <w:style w:type="character" w:styleId="Istaknutareferenca">
    <w:name w:val="Intense Reference"/>
    <w:basedOn w:val="Zadanifontodlomka"/>
    <w:uiPriority w:val="32"/>
    <w:qFormat/>
    <w:rsid w:val="00A41CFD"/>
    <w:rPr>
      <w:b/>
      <w:bCs/>
      <w:smallCaps/>
      <w:color w:val="5B9BD5" w:themeColor="accent1"/>
      <w:spacing w:val="5"/>
    </w:rPr>
  </w:style>
  <w:style w:type="paragraph" w:customStyle="1" w:styleId="box453040">
    <w:name w:val="box_453040"/>
    <w:basedOn w:val="Normal"/>
    <w:rsid w:val="000975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D36AA5"/>
  </w:style>
  <w:style w:type="paragraph" w:styleId="Revizija">
    <w:name w:val="Revision"/>
    <w:hidden/>
    <w:uiPriority w:val="99"/>
    <w:semiHidden/>
    <w:rsid w:val="00CC392C"/>
    <w:pPr>
      <w:spacing w:before="0" w:after="0"/>
    </w:pPr>
  </w:style>
  <w:style w:type="numbering" w:customStyle="1" w:styleId="NoList1">
    <w:name w:val="No List1"/>
    <w:next w:val="Bezpopisa"/>
    <w:uiPriority w:val="99"/>
    <w:semiHidden/>
    <w:unhideWhenUsed/>
    <w:rsid w:val="00D0103E"/>
  </w:style>
  <w:style w:type="table" w:styleId="Reetkatablice">
    <w:name w:val="Table Grid"/>
    <w:basedOn w:val="Obinatablica"/>
    <w:uiPriority w:val="39"/>
    <w:rsid w:val="003A01F6"/>
    <w:pPr>
      <w:spacing w:before="0" w:after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95A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78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7B453-7AA8-4E74-908A-E91A3808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12</Pages>
  <Words>3947</Words>
  <Characters>22500</Characters>
  <Application>Microsoft Office Word</Application>
  <DocSecurity>0</DocSecurity>
  <Lines>187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Barbarić</dc:creator>
  <cp:keywords/>
  <dc:description/>
  <cp:lastModifiedBy>Alen Kolar</cp:lastModifiedBy>
  <cp:revision>11</cp:revision>
  <cp:lastPrinted>2019-11-18T12:21:00Z</cp:lastPrinted>
  <dcterms:created xsi:type="dcterms:W3CDTF">2019-09-10T06:13:00Z</dcterms:created>
  <dcterms:modified xsi:type="dcterms:W3CDTF">2019-11-18T12:21:00Z</dcterms:modified>
</cp:coreProperties>
</file>